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6EF22" w14:textId="41A39963" w:rsidR="00626A5A" w:rsidRPr="00F13D96" w:rsidRDefault="00626A5A" w:rsidP="00626A5A">
      <w:pPr>
        <w:jc w:val="center"/>
        <w:rPr>
          <w:rFonts w:ascii="Times New Roman" w:eastAsia="Times New Roman" w:hAnsi="Times New Roman" w:cs="Times New Roman"/>
        </w:rPr>
      </w:pPr>
      <w:r w:rsidRPr="00F13D96">
        <w:rPr>
          <w:rFonts w:ascii="Arial" w:eastAsia="Times New Roman" w:hAnsi="Arial" w:cs="Arial"/>
          <w:b/>
          <w:bCs/>
          <w:color w:val="000000"/>
        </w:rPr>
        <w:t>ASMBS Webinar Proposal Form</w:t>
      </w:r>
    </w:p>
    <w:p w14:paraId="78E0D167" w14:textId="77777777" w:rsidR="00626A5A" w:rsidRPr="00F13D96" w:rsidRDefault="00626A5A" w:rsidP="00626A5A">
      <w:pPr>
        <w:jc w:val="center"/>
        <w:rPr>
          <w:rFonts w:ascii="Times New Roman" w:eastAsia="Times New Roman" w:hAnsi="Times New Roman" w:cs="Times New Roman"/>
        </w:rPr>
      </w:pPr>
      <w:r w:rsidRPr="00F13D96">
        <w:rPr>
          <w:rFonts w:ascii="Arial" w:eastAsia="Times New Roman" w:hAnsi="Arial" w:cs="Arial"/>
          <w:b/>
          <w:bCs/>
          <w:color w:val="000000"/>
        </w:rPr>
        <w:t> </w:t>
      </w:r>
    </w:p>
    <w:p w14:paraId="63CE4564" w14:textId="42084477" w:rsidR="00626A5A" w:rsidRPr="00F13D96" w:rsidRDefault="00626A5A" w:rsidP="00626A5A">
      <w:pPr>
        <w:rPr>
          <w:rFonts w:ascii="Times New Roman" w:eastAsia="Times New Roman" w:hAnsi="Times New Roman" w:cs="Times New Roman"/>
        </w:rPr>
      </w:pPr>
      <w:r w:rsidRPr="00F13D96">
        <w:rPr>
          <w:rFonts w:ascii="Arial" w:eastAsia="Times New Roman" w:hAnsi="Arial" w:cs="Arial"/>
          <w:color w:val="000000"/>
        </w:rPr>
        <w:t xml:space="preserve">ASMBS webinars must be approved by the </w:t>
      </w:r>
      <w:r w:rsidR="00CE3D15">
        <w:rPr>
          <w:rFonts w:ascii="Arial" w:eastAsia="Times New Roman" w:hAnsi="Arial" w:cs="Arial"/>
          <w:color w:val="000000"/>
        </w:rPr>
        <w:t xml:space="preserve">Executive Council (EC) and/or the </w:t>
      </w:r>
      <w:r w:rsidRPr="00F13D96">
        <w:rPr>
          <w:rFonts w:ascii="Arial" w:eastAsia="Times New Roman" w:hAnsi="Arial" w:cs="Arial"/>
          <w:color w:val="000000"/>
        </w:rPr>
        <w:t xml:space="preserve">Integrated Health Executive Council (IHEC) before a date and time can be approved for the webinar. Once </w:t>
      </w:r>
      <w:r w:rsidR="00CE3D15">
        <w:rPr>
          <w:rFonts w:ascii="Arial" w:eastAsia="Times New Roman" w:hAnsi="Arial" w:cs="Arial"/>
          <w:color w:val="000000"/>
        </w:rPr>
        <w:t>approved</w:t>
      </w:r>
      <w:r w:rsidRPr="00F13D96">
        <w:rPr>
          <w:rFonts w:ascii="Arial" w:eastAsia="Times New Roman" w:hAnsi="Arial" w:cs="Arial"/>
          <w:color w:val="000000"/>
        </w:rPr>
        <w:t xml:space="preserve">, the </w:t>
      </w:r>
      <w:r w:rsidR="00CE3D15">
        <w:rPr>
          <w:rFonts w:ascii="Arial" w:eastAsia="Times New Roman" w:hAnsi="Arial" w:cs="Arial"/>
          <w:color w:val="000000"/>
        </w:rPr>
        <w:t>ASMBS Communications Manager and Program Manage</w:t>
      </w:r>
      <w:r w:rsidR="00CA55C5">
        <w:rPr>
          <w:rFonts w:ascii="Arial" w:eastAsia="Times New Roman" w:hAnsi="Arial" w:cs="Arial"/>
          <w:color w:val="000000"/>
        </w:rPr>
        <w:t>r</w:t>
      </w:r>
      <w:r w:rsidRPr="00F13D96">
        <w:rPr>
          <w:rFonts w:ascii="Arial" w:eastAsia="Times New Roman" w:hAnsi="Arial" w:cs="Arial"/>
          <w:color w:val="000000"/>
        </w:rPr>
        <w:t xml:space="preserve"> will coordinate the logistics with the committee and/or members submitting the form.</w:t>
      </w:r>
    </w:p>
    <w:p w14:paraId="7B48F999" w14:textId="77777777" w:rsidR="00626A5A" w:rsidRPr="00F13D96" w:rsidRDefault="00626A5A" w:rsidP="00626A5A">
      <w:pPr>
        <w:rPr>
          <w:rFonts w:ascii="Times New Roman" w:eastAsia="Times New Roman" w:hAnsi="Times New Roman" w:cs="Times New Roman"/>
        </w:rPr>
      </w:pPr>
      <w:r w:rsidRPr="00F13D96">
        <w:rPr>
          <w:rFonts w:ascii="Arial" w:eastAsia="Times New Roman" w:hAnsi="Arial" w:cs="Arial"/>
          <w:color w:val="000000"/>
        </w:rPr>
        <w:t> </w:t>
      </w:r>
    </w:p>
    <w:p w14:paraId="399C4E7B" w14:textId="1DBE26A9" w:rsidR="00626A5A" w:rsidRDefault="00626A5A" w:rsidP="00626A5A">
      <w:pPr>
        <w:rPr>
          <w:rFonts w:ascii="Arial" w:eastAsia="Times New Roman" w:hAnsi="Arial" w:cs="Arial"/>
          <w:color w:val="000000"/>
        </w:rPr>
      </w:pPr>
      <w:r w:rsidRPr="00F13D96">
        <w:rPr>
          <w:rFonts w:ascii="Arial" w:eastAsia="Times New Roman" w:hAnsi="Arial" w:cs="Arial"/>
          <w:color w:val="000000"/>
        </w:rPr>
        <w:t>Please complete the following form and submit it to</w:t>
      </w:r>
      <w:r w:rsidR="00CE3D15">
        <w:rPr>
          <w:rFonts w:ascii="Arial" w:eastAsia="Times New Roman" w:hAnsi="Arial" w:cs="Arial"/>
          <w:color w:val="000000"/>
        </w:rPr>
        <w:t xml:space="preserve"> </w:t>
      </w:r>
      <w:hyperlink r:id="rId5" w:history="1">
        <w:r w:rsidR="00CE3D15" w:rsidRPr="003E5B7B">
          <w:rPr>
            <w:rStyle w:val="Hyperlink"/>
            <w:rFonts w:ascii="Arial" w:eastAsia="Times New Roman" w:hAnsi="Arial" w:cs="Arial"/>
          </w:rPr>
          <w:t>jennifer@asmbs.org</w:t>
        </w:r>
      </w:hyperlink>
      <w:r w:rsidR="00CE3D15">
        <w:rPr>
          <w:rFonts w:ascii="Arial" w:eastAsia="Times New Roman" w:hAnsi="Arial" w:cs="Arial"/>
          <w:color w:val="000000"/>
        </w:rPr>
        <w:t xml:space="preserve"> </w:t>
      </w:r>
      <w:r w:rsidRPr="00F13D96">
        <w:rPr>
          <w:rFonts w:ascii="Arial" w:eastAsia="Times New Roman" w:hAnsi="Arial" w:cs="Arial"/>
          <w:color w:val="000000"/>
        </w:rPr>
        <w:t xml:space="preserve">via email or complete the form by following the provided link: </w:t>
      </w:r>
      <w:hyperlink r:id="rId6" w:history="1">
        <w:r w:rsidR="002E3536" w:rsidRPr="003E5B7B">
          <w:rPr>
            <w:rStyle w:val="Hyperlink"/>
            <w:rFonts w:ascii="Arial" w:eastAsia="Times New Roman" w:hAnsi="Arial" w:cs="Arial"/>
          </w:rPr>
          <w:t>https://forms.gle/EcaAMFFxWHGJqvg38</w:t>
        </w:r>
      </w:hyperlink>
      <w:r w:rsidR="002E3536">
        <w:rPr>
          <w:rFonts w:ascii="Arial" w:eastAsia="Times New Roman" w:hAnsi="Arial" w:cs="Arial"/>
          <w:color w:val="000000"/>
        </w:rPr>
        <w:t xml:space="preserve"> </w:t>
      </w:r>
    </w:p>
    <w:p w14:paraId="41050460" w14:textId="7885AB2B" w:rsidR="00D33291" w:rsidRDefault="00D33291" w:rsidP="00626A5A">
      <w:pPr>
        <w:rPr>
          <w:rFonts w:ascii="Arial" w:eastAsia="Times New Roman" w:hAnsi="Arial" w:cs="Arial"/>
          <w:color w:val="000000"/>
        </w:rPr>
      </w:pPr>
    </w:p>
    <w:p w14:paraId="3B0477B9" w14:textId="497FA293" w:rsidR="00D33291" w:rsidRPr="00F13D96" w:rsidRDefault="00D33291" w:rsidP="00D33291">
      <w:pPr>
        <w:jc w:val="center"/>
        <w:rPr>
          <w:rFonts w:ascii="Times New Roman" w:eastAsia="Times New Roman" w:hAnsi="Times New Roman" w:cs="Times New Roman"/>
        </w:rPr>
      </w:pPr>
      <w:r>
        <w:rPr>
          <w:rFonts w:ascii="Arial" w:eastAsia="Times New Roman" w:hAnsi="Arial" w:cs="Arial"/>
          <w:color w:val="000000"/>
        </w:rPr>
        <w:t>Allow 4-6 weeks for review and approval</w:t>
      </w:r>
    </w:p>
    <w:p w14:paraId="462234AC" w14:textId="3C7B8DBD" w:rsidR="00DD6E69" w:rsidRDefault="00DD6E69"/>
    <w:tbl>
      <w:tblPr>
        <w:tblStyle w:val="TableGrid"/>
        <w:tblW w:w="10823" w:type="dxa"/>
        <w:tblLook w:val="04A0" w:firstRow="1" w:lastRow="0" w:firstColumn="1" w:lastColumn="0" w:noHBand="0" w:noVBand="1"/>
      </w:tblPr>
      <w:tblGrid>
        <w:gridCol w:w="5411"/>
        <w:gridCol w:w="5412"/>
      </w:tblGrid>
      <w:tr w:rsidR="00626A5A" w14:paraId="67BAFAD3" w14:textId="77777777" w:rsidTr="00626A5A">
        <w:trPr>
          <w:trHeight w:val="241"/>
        </w:trPr>
        <w:tc>
          <w:tcPr>
            <w:tcW w:w="10823" w:type="dxa"/>
            <w:gridSpan w:val="2"/>
            <w:shd w:val="clear" w:color="auto" w:fill="F7CAAC" w:themeFill="accent2" w:themeFillTint="66"/>
          </w:tcPr>
          <w:p w14:paraId="7E1ADDC6" w14:textId="6AC44158" w:rsidR="00626A5A" w:rsidRDefault="00626A5A" w:rsidP="00626A5A">
            <w:pPr>
              <w:jc w:val="center"/>
            </w:pPr>
            <w:r w:rsidRPr="00F13D96">
              <w:rPr>
                <w:rFonts w:ascii="Arial" w:eastAsia="Times New Roman" w:hAnsi="Arial" w:cs="Arial"/>
                <w:b/>
                <w:bCs/>
                <w:color w:val="000000"/>
              </w:rPr>
              <w:t>Webinar/Applicant Information</w:t>
            </w:r>
          </w:p>
        </w:tc>
      </w:tr>
      <w:tr w:rsidR="00626A5A" w14:paraId="784ACE90" w14:textId="77777777" w:rsidTr="00626A5A">
        <w:trPr>
          <w:trHeight w:val="518"/>
        </w:trPr>
        <w:tc>
          <w:tcPr>
            <w:tcW w:w="5411" w:type="dxa"/>
          </w:tcPr>
          <w:p w14:paraId="0B356146" w14:textId="7372B447" w:rsidR="00626A5A" w:rsidRPr="00626A5A" w:rsidRDefault="00626A5A" w:rsidP="00626A5A">
            <w:pPr>
              <w:rPr>
                <w:rFonts w:ascii="Arial" w:eastAsia="Times New Roman" w:hAnsi="Arial" w:cs="Arial"/>
                <w:b/>
                <w:bCs/>
                <w:color w:val="000000"/>
              </w:rPr>
            </w:pPr>
            <w:r w:rsidRPr="00F13D96">
              <w:rPr>
                <w:rFonts w:ascii="Arial" w:eastAsia="Times New Roman" w:hAnsi="Arial" w:cs="Arial"/>
                <w:b/>
                <w:bCs/>
                <w:color w:val="000000"/>
              </w:rPr>
              <w:t>Name or Committee Submitting Application</w:t>
            </w:r>
          </w:p>
        </w:tc>
        <w:tc>
          <w:tcPr>
            <w:tcW w:w="5411" w:type="dxa"/>
          </w:tcPr>
          <w:p w14:paraId="19E16E22" w14:textId="6BEAA585" w:rsidR="00626A5A" w:rsidRDefault="00626A5A">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626A5A" w14:paraId="7979E735" w14:textId="77777777" w:rsidTr="00626A5A">
        <w:trPr>
          <w:trHeight w:val="259"/>
        </w:trPr>
        <w:tc>
          <w:tcPr>
            <w:tcW w:w="5411" w:type="dxa"/>
          </w:tcPr>
          <w:p w14:paraId="68E35DB3" w14:textId="4B2A260E" w:rsidR="00626A5A" w:rsidRDefault="00626A5A" w:rsidP="00626A5A">
            <w:r w:rsidRPr="00F13D96">
              <w:rPr>
                <w:rFonts w:ascii="Arial" w:eastAsia="Times New Roman" w:hAnsi="Arial" w:cs="Arial"/>
                <w:b/>
                <w:bCs/>
                <w:color w:val="000000"/>
              </w:rPr>
              <w:t xml:space="preserve">Contact Information </w:t>
            </w:r>
            <w:r w:rsidRPr="00F13D96">
              <w:rPr>
                <w:rFonts w:ascii="Arial" w:eastAsia="Times New Roman" w:hAnsi="Arial" w:cs="Arial"/>
                <w:color w:val="000000"/>
              </w:rPr>
              <w:t>(email)</w:t>
            </w:r>
          </w:p>
        </w:tc>
        <w:tc>
          <w:tcPr>
            <w:tcW w:w="5411" w:type="dxa"/>
          </w:tcPr>
          <w:p w14:paraId="758E91BD" w14:textId="1F30EBFF" w:rsidR="00626A5A" w:rsidRDefault="00626A5A">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626A5A" w14:paraId="641783DB" w14:textId="77777777" w:rsidTr="00626A5A">
        <w:trPr>
          <w:trHeight w:val="276"/>
        </w:trPr>
        <w:tc>
          <w:tcPr>
            <w:tcW w:w="5411" w:type="dxa"/>
          </w:tcPr>
          <w:p w14:paraId="54A7DDA7" w14:textId="4168EE1A" w:rsidR="00626A5A" w:rsidRDefault="00626A5A" w:rsidP="00626A5A">
            <w:r w:rsidRPr="00F13D96">
              <w:rPr>
                <w:rFonts w:ascii="Arial" w:eastAsia="Times New Roman" w:hAnsi="Arial" w:cs="Arial"/>
                <w:b/>
                <w:bCs/>
                <w:color w:val="000000"/>
              </w:rPr>
              <w:t>Proposed Webinar Title</w:t>
            </w:r>
          </w:p>
        </w:tc>
        <w:tc>
          <w:tcPr>
            <w:tcW w:w="5411" w:type="dxa"/>
          </w:tcPr>
          <w:p w14:paraId="46EF442E" w14:textId="3F9EB0CD" w:rsidR="00626A5A" w:rsidRDefault="00626A5A">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626A5A" w14:paraId="1C33FF32" w14:textId="77777777" w:rsidTr="00626A5A">
        <w:trPr>
          <w:trHeight w:val="259"/>
        </w:trPr>
        <w:tc>
          <w:tcPr>
            <w:tcW w:w="5411" w:type="dxa"/>
          </w:tcPr>
          <w:p w14:paraId="752A5F04" w14:textId="69485D0A" w:rsidR="00626A5A" w:rsidRDefault="00626A5A" w:rsidP="00626A5A">
            <w:r w:rsidRPr="00F13D96">
              <w:rPr>
                <w:rFonts w:ascii="Arial" w:eastAsia="Times New Roman" w:hAnsi="Arial" w:cs="Arial"/>
                <w:b/>
                <w:bCs/>
                <w:color w:val="000000"/>
              </w:rPr>
              <w:t xml:space="preserve">Webinar Description </w:t>
            </w:r>
            <w:r w:rsidRPr="00F13D96">
              <w:rPr>
                <w:rFonts w:ascii="Arial" w:eastAsia="Times New Roman" w:hAnsi="Arial" w:cs="Arial"/>
                <w:color w:val="000000"/>
              </w:rPr>
              <w:t>(promote/explain topic in 1-3 sentences</w:t>
            </w:r>
            <w:r>
              <w:rPr>
                <w:rFonts w:ascii="Arial" w:eastAsia="Times New Roman" w:hAnsi="Arial" w:cs="Arial"/>
                <w:color w:val="000000"/>
              </w:rPr>
              <w:t>)</w:t>
            </w:r>
          </w:p>
        </w:tc>
        <w:tc>
          <w:tcPr>
            <w:tcW w:w="5411" w:type="dxa"/>
          </w:tcPr>
          <w:p w14:paraId="758C2352" w14:textId="4BB4C2E7" w:rsidR="00626A5A" w:rsidRDefault="00626A5A">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6AF96951" w14:textId="260E4B39" w:rsidR="00626A5A" w:rsidRDefault="00626A5A"/>
    <w:tbl>
      <w:tblPr>
        <w:tblStyle w:val="TableGrid"/>
        <w:tblW w:w="10823" w:type="dxa"/>
        <w:tblLook w:val="04A0" w:firstRow="1" w:lastRow="0" w:firstColumn="1" w:lastColumn="0" w:noHBand="0" w:noVBand="1"/>
      </w:tblPr>
      <w:tblGrid>
        <w:gridCol w:w="5411"/>
        <w:gridCol w:w="5412"/>
      </w:tblGrid>
      <w:tr w:rsidR="00626A5A" w14:paraId="34017837" w14:textId="77777777" w:rsidTr="00835DB2">
        <w:trPr>
          <w:trHeight w:val="241"/>
        </w:trPr>
        <w:tc>
          <w:tcPr>
            <w:tcW w:w="10823" w:type="dxa"/>
            <w:gridSpan w:val="2"/>
            <w:shd w:val="clear" w:color="auto" w:fill="F7CAAC" w:themeFill="accent2" w:themeFillTint="66"/>
          </w:tcPr>
          <w:p w14:paraId="0179AD7E" w14:textId="47423458" w:rsidR="00626A5A" w:rsidRDefault="00626A5A" w:rsidP="00835DB2">
            <w:pPr>
              <w:jc w:val="center"/>
            </w:pPr>
            <w:r>
              <w:rPr>
                <w:rFonts w:ascii="Arial" w:eastAsia="Times New Roman" w:hAnsi="Arial" w:cs="Arial"/>
                <w:b/>
                <w:bCs/>
                <w:color w:val="000000"/>
              </w:rPr>
              <w:t xml:space="preserve">Webinar Logistics </w:t>
            </w:r>
          </w:p>
        </w:tc>
      </w:tr>
      <w:tr w:rsidR="00626A5A" w14:paraId="0F7549EF" w14:textId="77777777" w:rsidTr="00835DB2">
        <w:trPr>
          <w:trHeight w:val="518"/>
        </w:trPr>
        <w:tc>
          <w:tcPr>
            <w:tcW w:w="5411" w:type="dxa"/>
          </w:tcPr>
          <w:p w14:paraId="6543B547" w14:textId="77777777" w:rsidR="00626A5A" w:rsidRDefault="00626A5A" w:rsidP="00835DB2">
            <w:pPr>
              <w:rPr>
                <w:rFonts w:ascii="Arial" w:eastAsia="Times New Roman" w:hAnsi="Arial" w:cs="Arial"/>
                <w:b/>
                <w:bCs/>
                <w:color w:val="000000"/>
              </w:rPr>
            </w:pPr>
            <w:r w:rsidRPr="00F13D96">
              <w:rPr>
                <w:rFonts w:ascii="Arial" w:eastAsia="Times New Roman" w:hAnsi="Arial" w:cs="Arial"/>
                <w:b/>
                <w:bCs/>
                <w:color w:val="000000"/>
              </w:rPr>
              <w:t>Requested Date &amp; Time</w:t>
            </w:r>
          </w:p>
          <w:p w14:paraId="376DADB9" w14:textId="61719372" w:rsidR="00926518" w:rsidRPr="00C75A21" w:rsidRDefault="00926518" w:rsidP="00835DB2">
            <w:pPr>
              <w:rPr>
                <w:rFonts w:ascii="Arial" w:eastAsia="Times New Roman" w:hAnsi="Arial" w:cs="Arial"/>
                <w:color w:val="000000"/>
              </w:rPr>
            </w:pPr>
            <w:r>
              <w:rPr>
                <w:rFonts w:ascii="Arial" w:eastAsia="Times New Roman" w:hAnsi="Arial" w:cs="Arial"/>
                <w:b/>
                <w:bCs/>
                <w:color w:val="000000"/>
              </w:rPr>
              <w:t>*</w:t>
            </w:r>
            <w:r>
              <w:rPr>
                <w:rFonts w:ascii="Arial" w:eastAsia="Times New Roman" w:hAnsi="Arial" w:cs="Arial"/>
                <w:color w:val="000000"/>
              </w:rPr>
              <w:t>Note that we cannot guarantee that the specific requested date/time can be approved.  Scheduling depends on a number of factors, including other Society events/offerings occurring near the requested date of the proposed webinar.</w:t>
            </w:r>
          </w:p>
        </w:tc>
        <w:tc>
          <w:tcPr>
            <w:tcW w:w="5411" w:type="dxa"/>
          </w:tcPr>
          <w:p w14:paraId="05AE6C16" w14:textId="77777777" w:rsidR="00626A5A" w:rsidRDefault="00626A5A" w:rsidP="00835DB2">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6A5A" w14:paraId="5A5D9C14" w14:textId="77777777" w:rsidTr="00835DB2">
        <w:trPr>
          <w:trHeight w:val="259"/>
        </w:trPr>
        <w:tc>
          <w:tcPr>
            <w:tcW w:w="5411" w:type="dxa"/>
          </w:tcPr>
          <w:p w14:paraId="3E708C1E" w14:textId="77777777" w:rsidR="00626A5A" w:rsidRPr="00F13D96" w:rsidRDefault="00626A5A" w:rsidP="00626A5A">
            <w:pPr>
              <w:rPr>
                <w:rFonts w:ascii="Times New Roman" w:eastAsia="Times New Roman" w:hAnsi="Times New Roman" w:cs="Times New Roman"/>
              </w:rPr>
            </w:pPr>
            <w:r w:rsidRPr="00F13D96">
              <w:rPr>
                <w:rFonts w:ascii="Arial" w:eastAsia="Times New Roman" w:hAnsi="Arial" w:cs="Arial"/>
                <w:b/>
                <w:bCs/>
                <w:color w:val="000000"/>
              </w:rPr>
              <w:t>Moderator(s)</w:t>
            </w:r>
          </w:p>
          <w:p w14:paraId="21A2034F" w14:textId="7EBC2693" w:rsidR="00626A5A" w:rsidRDefault="00626A5A" w:rsidP="00626A5A">
            <w:r w:rsidRPr="00F13D96">
              <w:rPr>
                <w:rFonts w:ascii="Arial" w:eastAsia="Times New Roman" w:hAnsi="Arial" w:cs="Arial"/>
                <w:color w:val="000000"/>
              </w:rPr>
              <w:t>(If the submitter needs help selecting a moderator, please indicate that here)</w:t>
            </w:r>
          </w:p>
        </w:tc>
        <w:tc>
          <w:tcPr>
            <w:tcW w:w="5411" w:type="dxa"/>
          </w:tcPr>
          <w:p w14:paraId="5F65AAFD" w14:textId="77777777" w:rsidR="00626A5A" w:rsidRDefault="00626A5A" w:rsidP="00835DB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6A5A" w14:paraId="3E9434C6" w14:textId="77777777" w:rsidTr="00835DB2">
        <w:trPr>
          <w:trHeight w:val="276"/>
        </w:trPr>
        <w:tc>
          <w:tcPr>
            <w:tcW w:w="5411" w:type="dxa"/>
          </w:tcPr>
          <w:p w14:paraId="4D967EDD" w14:textId="77777777" w:rsidR="00626A5A" w:rsidRPr="00F13D96" w:rsidRDefault="00626A5A" w:rsidP="00626A5A">
            <w:pPr>
              <w:rPr>
                <w:rFonts w:ascii="Times New Roman" w:eastAsia="Times New Roman" w:hAnsi="Times New Roman" w:cs="Times New Roman"/>
              </w:rPr>
            </w:pPr>
            <w:r w:rsidRPr="00F13D96">
              <w:rPr>
                <w:rFonts w:ascii="Arial" w:eastAsia="Times New Roman" w:hAnsi="Arial" w:cs="Arial"/>
                <w:b/>
                <w:bCs/>
                <w:color w:val="000000"/>
              </w:rPr>
              <w:t>Speaker(s)</w:t>
            </w:r>
          </w:p>
          <w:p w14:paraId="543981E2" w14:textId="218DB8E2" w:rsidR="00626A5A" w:rsidRDefault="00626A5A" w:rsidP="00626A5A">
            <w:r w:rsidRPr="00F13D96">
              <w:rPr>
                <w:rFonts w:ascii="Arial" w:eastAsia="Times New Roman" w:hAnsi="Arial" w:cs="Arial"/>
                <w:color w:val="000000"/>
              </w:rPr>
              <w:t>A bio/CV and headshot must be submitted for each speaker with this application.</w:t>
            </w:r>
          </w:p>
        </w:tc>
        <w:tc>
          <w:tcPr>
            <w:tcW w:w="5411" w:type="dxa"/>
          </w:tcPr>
          <w:p w14:paraId="3D38940B" w14:textId="77777777" w:rsidR="00626A5A" w:rsidRDefault="00626A5A" w:rsidP="00835DB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6A5A" w14:paraId="3E88C606" w14:textId="77777777" w:rsidTr="00835DB2">
        <w:trPr>
          <w:trHeight w:val="259"/>
        </w:trPr>
        <w:tc>
          <w:tcPr>
            <w:tcW w:w="5411" w:type="dxa"/>
          </w:tcPr>
          <w:p w14:paraId="3C180E8F" w14:textId="77777777" w:rsidR="00626A5A" w:rsidRPr="00F13D96" w:rsidRDefault="00626A5A" w:rsidP="00626A5A">
            <w:pPr>
              <w:rPr>
                <w:rFonts w:ascii="Times New Roman" w:eastAsia="Times New Roman" w:hAnsi="Times New Roman" w:cs="Times New Roman"/>
              </w:rPr>
            </w:pPr>
            <w:r w:rsidRPr="00F13D96">
              <w:rPr>
                <w:rFonts w:ascii="Arial" w:eastAsia="Times New Roman" w:hAnsi="Arial" w:cs="Arial"/>
                <w:b/>
                <w:bCs/>
                <w:color w:val="000000"/>
              </w:rPr>
              <w:t>Credits- Select the credit(s) to be offered</w:t>
            </w:r>
          </w:p>
          <w:p w14:paraId="01F35D6B" w14:textId="77777777" w:rsidR="00626A5A" w:rsidRPr="00F13D96" w:rsidRDefault="00626A5A" w:rsidP="00626A5A">
            <w:pPr>
              <w:rPr>
                <w:rFonts w:ascii="Times New Roman" w:eastAsia="Times New Roman" w:hAnsi="Times New Roman" w:cs="Times New Roman"/>
              </w:rPr>
            </w:pPr>
            <w:r w:rsidRPr="00F13D96">
              <w:rPr>
                <w:rFonts w:ascii="Arial" w:eastAsia="Times New Roman" w:hAnsi="Arial" w:cs="Arial"/>
                <w:i/>
                <w:iCs/>
                <w:color w:val="000000"/>
              </w:rPr>
              <w:t>*If requesting credits, please note that there will be a cost associated to the attendees.</w:t>
            </w:r>
          </w:p>
          <w:p w14:paraId="56B97468" w14:textId="37A00900" w:rsidR="00626A5A" w:rsidRDefault="00626A5A" w:rsidP="00626A5A">
            <w:r w:rsidRPr="00F13D96">
              <w:rPr>
                <w:rFonts w:ascii="Arial" w:eastAsia="Times New Roman" w:hAnsi="Arial" w:cs="Arial"/>
                <w:i/>
                <w:iCs/>
                <w:color w:val="000000"/>
              </w:rPr>
              <w:t xml:space="preserve">*Offering credits will </w:t>
            </w:r>
            <w:r w:rsidR="00926518">
              <w:rPr>
                <w:rFonts w:ascii="Arial" w:eastAsia="Times New Roman" w:hAnsi="Arial" w:cs="Arial"/>
                <w:i/>
                <w:iCs/>
                <w:color w:val="000000"/>
              </w:rPr>
              <w:t>require</w:t>
            </w:r>
            <w:r w:rsidRPr="00F13D96">
              <w:rPr>
                <w:rFonts w:ascii="Arial" w:eastAsia="Times New Roman" w:hAnsi="Arial" w:cs="Arial"/>
                <w:i/>
                <w:iCs/>
                <w:color w:val="000000"/>
              </w:rPr>
              <w:t xml:space="preserve"> additional review, planning and approval</w:t>
            </w:r>
            <w:r w:rsidR="00926518">
              <w:rPr>
                <w:rFonts w:ascii="Arial" w:eastAsia="Times New Roman" w:hAnsi="Arial" w:cs="Arial"/>
                <w:i/>
                <w:iCs/>
                <w:color w:val="000000"/>
              </w:rPr>
              <w:t xml:space="preserve"> processe</w:t>
            </w:r>
            <w:r w:rsidRPr="00F13D96">
              <w:rPr>
                <w:rFonts w:ascii="Arial" w:eastAsia="Times New Roman" w:hAnsi="Arial" w:cs="Arial"/>
                <w:i/>
                <w:iCs/>
                <w:color w:val="000000"/>
              </w:rPr>
              <w:t>s.</w:t>
            </w:r>
            <w:r w:rsidR="00926518">
              <w:rPr>
                <w:rFonts w:ascii="Arial" w:eastAsia="Times New Roman" w:hAnsi="Arial" w:cs="Arial"/>
                <w:i/>
                <w:iCs/>
                <w:color w:val="000000"/>
              </w:rPr>
              <w:t xml:space="preserve">  If credits are desired, deadline for webinar proposal form is </w:t>
            </w:r>
            <w:r w:rsidR="00C75A21">
              <w:rPr>
                <w:rFonts w:ascii="Arial" w:eastAsia="Times New Roman" w:hAnsi="Arial" w:cs="Arial"/>
                <w:i/>
                <w:iCs/>
                <w:color w:val="000000"/>
              </w:rPr>
              <w:t xml:space="preserve">4-6 </w:t>
            </w:r>
            <w:r w:rsidR="00926518">
              <w:rPr>
                <w:rFonts w:ascii="Arial" w:eastAsia="Times New Roman" w:hAnsi="Arial" w:cs="Arial"/>
                <w:i/>
                <w:iCs/>
                <w:color w:val="000000"/>
              </w:rPr>
              <w:t>weeks before desired webinar date.</w:t>
            </w:r>
          </w:p>
        </w:tc>
        <w:tc>
          <w:tcPr>
            <w:tcW w:w="5411" w:type="dxa"/>
          </w:tcPr>
          <w:p w14:paraId="0D4F32AB" w14:textId="77777777" w:rsidR="00626A5A" w:rsidRDefault="00626A5A" w:rsidP="00835DB2">
            <w:pPr>
              <w:rPr>
                <w:rFonts w:ascii="Arial" w:hAnsi="Arial" w:cs="Arial"/>
              </w:rPr>
            </w:pPr>
            <w:r>
              <w:fldChar w:fldCharType="begin">
                <w:ffData>
                  <w:name w:val="Check1"/>
                  <w:enabled/>
                  <w:calcOnExit w:val="0"/>
                  <w:checkBox>
                    <w:sizeAuto/>
                    <w:default w:val="0"/>
                  </w:checkBox>
                </w:ffData>
              </w:fldChar>
            </w:r>
            <w:bookmarkStart w:id="4" w:name="Check1"/>
            <w:r>
              <w:instrText xml:space="preserve"> FORMCHECKBOX </w:instrText>
            </w:r>
            <w:r w:rsidR="00000000">
              <w:fldChar w:fldCharType="separate"/>
            </w:r>
            <w:r>
              <w:fldChar w:fldCharType="end"/>
            </w:r>
            <w:bookmarkEnd w:id="4"/>
            <w:r>
              <w:t xml:space="preserve"> </w:t>
            </w:r>
            <w:r>
              <w:rPr>
                <w:rFonts w:ascii="Arial" w:hAnsi="Arial" w:cs="Arial"/>
              </w:rPr>
              <w:t>CEU</w:t>
            </w:r>
          </w:p>
          <w:p w14:paraId="17B7DF18" w14:textId="77777777" w:rsidR="00626A5A" w:rsidRDefault="00626A5A" w:rsidP="00835DB2">
            <w:pPr>
              <w:rPr>
                <w:rFonts w:ascii="Arial" w:hAnsi="Arial" w:cs="Arial"/>
              </w:rPr>
            </w:pPr>
            <w:r>
              <w:rPr>
                <w:rFonts w:ascii="Arial" w:hAnsi="Arial" w:cs="Arial"/>
              </w:rPr>
              <w:fldChar w:fldCharType="begin">
                <w:ffData>
                  <w:name w:val="Check2"/>
                  <w:enabled/>
                  <w:calcOnExit w:val="0"/>
                  <w:checkBox>
                    <w:sizeAuto/>
                    <w:default w:val="0"/>
                  </w:checkBox>
                </w:ffData>
              </w:fldChar>
            </w:r>
            <w:bookmarkStart w:id="5" w:name="Check2"/>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5"/>
            <w:r>
              <w:rPr>
                <w:rFonts w:ascii="Arial" w:hAnsi="Arial" w:cs="Arial"/>
              </w:rPr>
              <w:t xml:space="preserve"> CME</w:t>
            </w:r>
          </w:p>
          <w:p w14:paraId="591CA891" w14:textId="77777777" w:rsidR="00626A5A" w:rsidRDefault="00626A5A" w:rsidP="00835DB2">
            <w:pPr>
              <w:rPr>
                <w:rFonts w:ascii="Arial" w:hAnsi="Arial" w:cs="Arial"/>
              </w:rPr>
            </w:pPr>
            <w:r>
              <w:rPr>
                <w:rFonts w:ascii="Arial" w:hAnsi="Arial" w:cs="Arial"/>
              </w:rPr>
              <w:fldChar w:fldCharType="begin">
                <w:ffData>
                  <w:name w:val="Check3"/>
                  <w:enabled/>
                  <w:calcOnExit w:val="0"/>
                  <w:checkBox>
                    <w:sizeAuto/>
                    <w:default w:val="0"/>
                  </w:checkBox>
                </w:ffData>
              </w:fldChar>
            </w:r>
            <w:bookmarkStart w:id="6" w:name="Check3"/>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6"/>
            <w:r>
              <w:rPr>
                <w:rFonts w:ascii="Arial" w:hAnsi="Arial" w:cs="Arial"/>
              </w:rPr>
              <w:t xml:space="preserve"> APA</w:t>
            </w:r>
          </w:p>
          <w:p w14:paraId="388D3F23" w14:textId="77777777" w:rsidR="00626A5A" w:rsidRDefault="00626A5A" w:rsidP="00835DB2">
            <w:pPr>
              <w:rPr>
                <w:rFonts w:ascii="Arial" w:hAnsi="Arial" w:cs="Arial"/>
              </w:rPr>
            </w:pPr>
            <w:r>
              <w:rPr>
                <w:rFonts w:ascii="Arial" w:hAnsi="Arial" w:cs="Arial"/>
              </w:rPr>
              <w:fldChar w:fldCharType="begin">
                <w:ffData>
                  <w:name w:val="Check4"/>
                  <w:enabled/>
                  <w:calcOnExit w:val="0"/>
                  <w:checkBox>
                    <w:sizeAuto/>
                    <w:default w:val="0"/>
                  </w:checkBox>
                </w:ffData>
              </w:fldChar>
            </w:r>
            <w:bookmarkStart w:id="7" w:name="Check4"/>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7"/>
            <w:r>
              <w:rPr>
                <w:rFonts w:ascii="Arial" w:hAnsi="Arial" w:cs="Arial"/>
              </w:rPr>
              <w:t xml:space="preserve"> ASWB</w:t>
            </w:r>
          </w:p>
          <w:p w14:paraId="23B3A9E0" w14:textId="5D35C314" w:rsidR="00626A5A" w:rsidRPr="00626A5A" w:rsidRDefault="00626A5A" w:rsidP="00835DB2">
            <w:pPr>
              <w:rPr>
                <w:rFonts w:ascii="Arial" w:hAnsi="Arial" w:cs="Arial"/>
              </w:rPr>
            </w:pPr>
            <w:r>
              <w:rPr>
                <w:rFonts w:ascii="Arial" w:hAnsi="Arial" w:cs="Arial"/>
              </w:rPr>
              <w:fldChar w:fldCharType="begin">
                <w:ffData>
                  <w:name w:val="Check5"/>
                  <w:enabled/>
                  <w:calcOnExit w:val="0"/>
                  <w:checkBox>
                    <w:sizeAuto/>
                    <w:default w:val="0"/>
                  </w:checkBox>
                </w:ffData>
              </w:fldChar>
            </w:r>
            <w:bookmarkStart w:id="8" w:name="Check5"/>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8"/>
            <w:r w:rsidR="00724E60">
              <w:rPr>
                <w:rFonts w:ascii="Arial" w:hAnsi="Arial" w:cs="Arial"/>
              </w:rPr>
              <w:t xml:space="preserve"> </w:t>
            </w:r>
            <w:r>
              <w:rPr>
                <w:rFonts w:ascii="Arial" w:hAnsi="Arial" w:cs="Arial"/>
              </w:rPr>
              <w:t>ASWB ACE</w:t>
            </w:r>
          </w:p>
        </w:tc>
      </w:tr>
    </w:tbl>
    <w:p w14:paraId="0D689DC8" w14:textId="03C27D29" w:rsidR="00626A5A" w:rsidRDefault="00626A5A"/>
    <w:p w14:paraId="3A099E84" w14:textId="77777777" w:rsidR="00F930E9" w:rsidRDefault="00F930E9"/>
    <w:p w14:paraId="5A3E9281" w14:textId="77777777" w:rsidR="00F930E9" w:rsidRDefault="00F930E9"/>
    <w:p w14:paraId="39B38AC0" w14:textId="77777777" w:rsidR="00F930E9" w:rsidRDefault="00F930E9"/>
    <w:p w14:paraId="7684DD3C" w14:textId="77777777" w:rsidR="00F930E9" w:rsidRDefault="00F930E9"/>
    <w:p w14:paraId="3AA0C622" w14:textId="77777777" w:rsidR="00F930E9" w:rsidRDefault="00F930E9"/>
    <w:p w14:paraId="0C50C79C" w14:textId="77777777" w:rsidR="00F930E9" w:rsidRDefault="00F930E9"/>
    <w:p w14:paraId="1996E551" w14:textId="77777777" w:rsidR="00F930E9" w:rsidRDefault="00F930E9"/>
    <w:p w14:paraId="7CA3992A" w14:textId="77777777" w:rsidR="00F930E9" w:rsidRDefault="00F930E9"/>
    <w:tbl>
      <w:tblPr>
        <w:tblStyle w:val="TableGrid"/>
        <w:tblW w:w="10823" w:type="dxa"/>
        <w:tblLook w:val="04A0" w:firstRow="1" w:lastRow="0" w:firstColumn="1" w:lastColumn="0" w:noHBand="0" w:noVBand="1"/>
      </w:tblPr>
      <w:tblGrid>
        <w:gridCol w:w="5411"/>
        <w:gridCol w:w="5412"/>
      </w:tblGrid>
      <w:tr w:rsidR="00626A5A" w14:paraId="5E7E3F6A" w14:textId="77777777" w:rsidTr="00835DB2">
        <w:trPr>
          <w:trHeight w:val="241"/>
        </w:trPr>
        <w:tc>
          <w:tcPr>
            <w:tcW w:w="10823" w:type="dxa"/>
            <w:gridSpan w:val="2"/>
            <w:shd w:val="clear" w:color="auto" w:fill="F7CAAC" w:themeFill="accent2" w:themeFillTint="66"/>
          </w:tcPr>
          <w:p w14:paraId="0A86552C" w14:textId="06450ACE" w:rsidR="00626A5A" w:rsidRDefault="00626A5A" w:rsidP="00835DB2">
            <w:pPr>
              <w:jc w:val="center"/>
            </w:pPr>
            <w:r w:rsidRPr="00F13D96">
              <w:rPr>
                <w:rFonts w:ascii="Arial" w:eastAsia="Times New Roman" w:hAnsi="Arial" w:cs="Arial"/>
                <w:b/>
                <w:bCs/>
                <w:color w:val="000000"/>
              </w:rPr>
              <w:lastRenderedPageBreak/>
              <w:t>Webinar</w:t>
            </w:r>
            <w:r>
              <w:rPr>
                <w:rFonts w:ascii="Arial" w:eastAsia="Times New Roman" w:hAnsi="Arial" w:cs="Arial"/>
                <w:b/>
                <w:bCs/>
                <w:color w:val="000000"/>
              </w:rPr>
              <w:t xml:space="preserve"> Specifics </w:t>
            </w:r>
          </w:p>
        </w:tc>
      </w:tr>
      <w:tr w:rsidR="00626A5A" w14:paraId="310D8D35" w14:textId="77777777" w:rsidTr="00626A5A">
        <w:trPr>
          <w:trHeight w:val="518"/>
        </w:trPr>
        <w:tc>
          <w:tcPr>
            <w:tcW w:w="5411" w:type="dxa"/>
          </w:tcPr>
          <w:p w14:paraId="2C53BBD2" w14:textId="7BA2B349" w:rsidR="00626A5A" w:rsidRPr="00626A5A" w:rsidRDefault="00626A5A" w:rsidP="00835DB2">
            <w:pPr>
              <w:rPr>
                <w:rFonts w:ascii="Arial" w:eastAsia="Times New Roman" w:hAnsi="Arial" w:cs="Arial"/>
                <w:b/>
                <w:bCs/>
                <w:color w:val="000000"/>
              </w:rPr>
            </w:pPr>
            <w:r>
              <w:rPr>
                <w:rFonts w:ascii="Arial" w:eastAsia="Times New Roman" w:hAnsi="Arial" w:cs="Arial"/>
                <w:b/>
                <w:bCs/>
                <w:color w:val="000000"/>
              </w:rPr>
              <w:t xml:space="preserve">Target Audience </w:t>
            </w:r>
          </w:p>
        </w:tc>
        <w:tc>
          <w:tcPr>
            <w:tcW w:w="5412" w:type="dxa"/>
          </w:tcPr>
          <w:p w14:paraId="235939DD" w14:textId="77777777" w:rsidR="00626A5A" w:rsidRDefault="00626A5A" w:rsidP="00835DB2">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6A5A" w14:paraId="2F1526EC" w14:textId="77777777" w:rsidTr="00626A5A">
        <w:trPr>
          <w:trHeight w:val="259"/>
        </w:trPr>
        <w:tc>
          <w:tcPr>
            <w:tcW w:w="5411" w:type="dxa"/>
          </w:tcPr>
          <w:p w14:paraId="6C421B4F" w14:textId="77777777" w:rsidR="00F930E9" w:rsidRPr="00F930E9" w:rsidRDefault="00626A5A" w:rsidP="00F930E9">
            <w:pPr>
              <w:rPr>
                <w:i/>
                <w:iCs/>
              </w:rPr>
            </w:pPr>
            <w:r w:rsidRPr="00F13D96">
              <w:rPr>
                <w:rFonts w:ascii="Arial" w:eastAsia="Times New Roman" w:hAnsi="Arial" w:cs="Arial"/>
                <w:b/>
                <w:bCs/>
                <w:color w:val="000000"/>
              </w:rPr>
              <w:t xml:space="preserve">Learning Objectives </w:t>
            </w:r>
            <w:r w:rsidRPr="00F13D96">
              <w:rPr>
                <w:rFonts w:ascii="Arial" w:eastAsia="Times New Roman" w:hAnsi="Arial" w:cs="Arial"/>
                <w:color w:val="000000"/>
              </w:rPr>
              <w:t>(include 3-4)</w:t>
            </w:r>
            <w:r w:rsidR="00F930E9">
              <w:rPr>
                <w:rFonts w:ascii="Arial" w:eastAsia="Times New Roman" w:hAnsi="Arial" w:cs="Arial"/>
                <w:color w:val="000000"/>
              </w:rPr>
              <w:br/>
            </w:r>
            <w:r w:rsidR="00F930E9">
              <w:rPr>
                <w:i/>
                <w:iCs/>
              </w:rPr>
              <w:t xml:space="preserve">Examples: </w:t>
            </w:r>
            <w:r w:rsidR="00F930E9">
              <w:rPr>
                <w:i/>
                <w:iCs/>
              </w:rPr>
              <w:br/>
            </w:r>
            <w:r w:rsidR="00F930E9" w:rsidRPr="00F930E9">
              <w:rPr>
                <w:i/>
                <w:iCs/>
              </w:rPr>
              <w:t>1. Describe Technical pitfalls in Primary and revisional Bariatric Surgery</w:t>
            </w:r>
          </w:p>
          <w:p w14:paraId="3F1EA381" w14:textId="77777777" w:rsidR="00F930E9" w:rsidRPr="00F930E9" w:rsidRDefault="00F930E9" w:rsidP="00F930E9">
            <w:pPr>
              <w:rPr>
                <w:i/>
                <w:iCs/>
              </w:rPr>
            </w:pPr>
            <w:r w:rsidRPr="00F930E9">
              <w:rPr>
                <w:i/>
                <w:iCs/>
              </w:rPr>
              <w:t>2. Engage in multimodal interventions that can facilitate patient education efforts.</w:t>
            </w:r>
          </w:p>
          <w:p w14:paraId="6FEEED63" w14:textId="4D8E859E" w:rsidR="00626A5A" w:rsidRPr="00F930E9" w:rsidRDefault="00F930E9" w:rsidP="00835DB2">
            <w:pPr>
              <w:rPr>
                <w:i/>
                <w:iCs/>
              </w:rPr>
            </w:pPr>
            <w:r w:rsidRPr="00F930E9">
              <w:rPr>
                <w:i/>
                <w:iCs/>
              </w:rPr>
              <w:t>3. Identify new and innovative pain reduction strategies that represent promising options for bariatric surgery.</w:t>
            </w:r>
          </w:p>
        </w:tc>
        <w:tc>
          <w:tcPr>
            <w:tcW w:w="5412" w:type="dxa"/>
          </w:tcPr>
          <w:p w14:paraId="3C15E594" w14:textId="77777777" w:rsidR="00626A5A" w:rsidRDefault="00626A5A" w:rsidP="00835DB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4706EBE" w14:textId="77777777" w:rsidR="00D33291" w:rsidRDefault="00D33291"/>
    <w:p w14:paraId="2B991D31" w14:textId="77777777" w:rsidR="00626A5A" w:rsidRPr="00F13D96" w:rsidRDefault="00626A5A" w:rsidP="00626A5A">
      <w:pPr>
        <w:jc w:val="center"/>
        <w:rPr>
          <w:rFonts w:ascii="Times New Roman" w:eastAsia="Times New Roman" w:hAnsi="Times New Roman" w:cs="Times New Roman"/>
        </w:rPr>
      </w:pPr>
      <w:r w:rsidRPr="00F13D96">
        <w:rPr>
          <w:rFonts w:ascii="Arial" w:eastAsia="Times New Roman" w:hAnsi="Arial" w:cs="Arial"/>
          <w:b/>
          <w:bCs/>
          <w:color w:val="000000"/>
          <w:u w:val="single"/>
        </w:rPr>
        <w:t xml:space="preserve">This section is to be filled out if the submitter is </w:t>
      </w:r>
      <w:proofErr w:type="gramStart"/>
      <w:r w:rsidRPr="00F13D96">
        <w:rPr>
          <w:rFonts w:ascii="Arial" w:eastAsia="Times New Roman" w:hAnsi="Arial" w:cs="Arial"/>
          <w:b/>
          <w:bCs/>
          <w:color w:val="000000"/>
          <w:u w:val="single"/>
        </w:rPr>
        <w:t>requesting</w:t>
      </w:r>
      <w:proofErr w:type="gramEnd"/>
    </w:p>
    <w:p w14:paraId="2C01AEF4" w14:textId="77777777" w:rsidR="00626A5A" w:rsidRPr="00F13D96" w:rsidRDefault="00626A5A" w:rsidP="00626A5A">
      <w:pPr>
        <w:jc w:val="center"/>
        <w:rPr>
          <w:rFonts w:ascii="Times New Roman" w:eastAsia="Times New Roman" w:hAnsi="Times New Roman" w:cs="Times New Roman"/>
        </w:rPr>
      </w:pPr>
      <w:r w:rsidRPr="00F13D96">
        <w:rPr>
          <w:rFonts w:ascii="Arial" w:eastAsia="Times New Roman" w:hAnsi="Arial" w:cs="Arial"/>
          <w:b/>
          <w:bCs/>
          <w:color w:val="000000"/>
          <w:u w:val="single"/>
        </w:rPr>
        <w:t>continuing education credits ONLY</w:t>
      </w:r>
    </w:p>
    <w:p w14:paraId="57A18B6C" w14:textId="77777777" w:rsidR="00626A5A" w:rsidRPr="00F13D96" w:rsidRDefault="00626A5A" w:rsidP="00626A5A">
      <w:pPr>
        <w:rPr>
          <w:rFonts w:ascii="Times New Roman" w:eastAsia="Times New Roman" w:hAnsi="Times New Roman" w:cs="Times New Roman"/>
        </w:rPr>
      </w:pPr>
      <w:r w:rsidRPr="00F13D96">
        <w:rPr>
          <w:rFonts w:ascii="Arial" w:eastAsia="Times New Roman" w:hAnsi="Arial" w:cs="Arial"/>
          <w:color w:val="000000"/>
        </w:rPr>
        <w:t> </w:t>
      </w:r>
    </w:p>
    <w:p w14:paraId="6B6EA4B2" w14:textId="17330FD7" w:rsidR="00626A5A" w:rsidRPr="00F13D96" w:rsidRDefault="00626A5A" w:rsidP="00626A5A">
      <w:pPr>
        <w:spacing w:after="160"/>
        <w:rPr>
          <w:rFonts w:ascii="Times New Roman" w:eastAsia="Times New Roman" w:hAnsi="Times New Roman" w:cs="Times New Roman"/>
        </w:rPr>
      </w:pPr>
      <w:r w:rsidRPr="00F13D96">
        <w:rPr>
          <w:rFonts w:ascii="Arial" w:eastAsia="Times New Roman" w:hAnsi="Arial" w:cs="Arial"/>
          <w:color w:val="000000"/>
        </w:rPr>
        <w:t>ASMBS requires all planners, directors, speakers, and staff to comply with the</w:t>
      </w:r>
      <w:hyperlink r:id="rId7" w:history="1">
        <w:r w:rsidRPr="00F13D96">
          <w:rPr>
            <w:rFonts w:ascii="Arial" w:eastAsia="Times New Roman" w:hAnsi="Arial" w:cs="Arial"/>
            <w:color w:val="000000"/>
            <w:u w:val="single"/>
          </w:rPr>
          <w:t xml:space="preserve"> </w:t>
        </w:r>
        <w:r w:rsidRPr="00F13D96">
          <w:rPr>
            <w:rFonts w:ascii="Arial" w:eastAsia="Times New Roman" w:hAnsi="Arial" w:cs="Arial"/>
            <w:color w:val="0563C1"/>
            <w:u w:val="single"/>
          </w:rPr>
          <w:t>ACCME’s Standards for Integrity and Independence</w:t>
        </w:r>
      </w:hyperlink>
      <w:r w:rsidRPr="00F13D96">
        <w:rPr>
          <w:rFonts w:ascii="Arial" w:eastAsia="Times New Roman" w:hAnsi="Arial" w:cs="Arial"/>
          <w:color w:val="000000"/>
        </w:rPr>
        <w:t>. ASMBS planners, directors, and speakers’ disclosures are to be collected prior to the start of developing and/or agreeing to participate in an activity. In accordance with the ACCME’s Standards for Integrity and Independence, the ASMBS requires disclosure of all financial relationships and nature of that relationship with ineligible companies (</w:t>
      </w:r>
      <w:r w:rsidRPr="00F13D96">
        <w:rPr>
          <w:rFonts w:ascii="Arial" w:eastAsia="Times New Roman" w:hAnsi="Arial" w:cs="Arial"/>
          <w:i/>
          <w:iCs/>
          <w:color w:val="000000"/>
        </w:rPr>
        <w:t>Those whose primary business is producing, marketing, selling, re-selling, or distributing healthcare products used by or on patients.)</w:t>
      </w:r>
      <w:r w:rsidRPr="00F13D96">
        <w:rPr>
          <w:rFonts w:ascii="Arial" w:eastAsia="Times New Roman" w:hAnsi="Arial" w:cs="Arial"/>
          <w:color w:val="000000"/>
        </w:rPr>
        <w:t xml:space="preserve">, for the </w:t>
      </w:r>
      <w:r w:rsidRPr="00F13D96">
        <w:rPr>
          <w:rFonts w:ascii="Arial" w:eastAsia="Times New Roman" w:hAnsi="Arial" w:cs="Arial"/>
          <w:b/>
          <w:bCs/>
          <w:color w:val="000000"/>
          <w:u w:val="single"/>
        </w:rPr>
        <w:t>past 24 months</w:t>
      </w:r>
      <w:r w:rsidRPr="00F13D96">
        <w:rPr>
          <w:rFonts w:ascii="Arial" w:eastAsia="Times New Roman" w:hAnsi="Arial" w:cs="Arial"/>
          <w:b/>
          <w:bCs/>
          <w:color w:val="000000"/>
        </w:rPr>
        <w:t>.</w:t>
      </w:r>
    </w:p>
    <w:p w14:paraId="0EB1212D" w14:textId="77777777" w:rsidR="00626A5A" w:rsidRPr="00F13D96" w:rsidRDefault="00626A5A" w:rsidP="00626A5A">
      <w:pPr>
        <w:rPr>
          <w:rFonts w:ascii="Times New Roman" w:eastAsia="Times New Roman" w:hAnsi="Times New Roman" w:cs="Times New Roman"/>
        </w:rPr>
      </w:pPr>
      <w:r w:rsidRPr="00F13D96">
        <w:rPr>
          <w:rFonts w:ascii="Arial" w:eastAsia="Times New Roman" w:hAnsi="Arial" w:cs="Arial"/>
          <w:b/>
          <w:bCs/>
          <w:color w:val="000000"/>
        </w:rPr>
        <w:t>ASMBS Policy on employees and owners of ineligible companies</w:t>
      </w:r>
    </w:p>
    <w:p w14:paraId="3C526D07" w14:textId="77777777" w:rsidR="00626A5A" w:rsidRPr="00F13D96" w:rsidRDefault="00626A5A" w:rsidP="00626A5A">
      <w:pPr>
        <w:ind w:left="120"/>
        <w:rPr>
          <w:rFonts w:ascii="Times New Roman" w:eastAsia="Times New Roman" w:hAnsi="Times New Roman" w:cs="Times New Roman"/>
        </w:rPr>
      </w:pPr>
      <w:r w:rsidRPr="00F13D96">
        <w:rPr>
          <w:rFonts w:ascii="Arial" w:eastAsia="Times New Roman" w:hAnsi="Arial" w:cs="Arial"/>
          <w:b/>
          <w:bCs/>
          <w:color w:val="000000"/>
        </w:rPr>
        <w:t> </w:t>
      </w:r>
    </w:p>
    <w:p w14:paraId="412D696E" w14:textId="77777777" w:rsidR="00626A5A" w:rsidRPr="00F13D96" w:rsidRDefault="00626A5A" w:rsidP="00626A5A">
      <w:pPr>
        <w:rPr>
          <w:rFonts w:ascii="Times New Roman" w:eastAsia="Times New Roman" w:hAnsi="Times New Roman" w:cs="Times New Roman"/>
        </w:rPr>
      </w:pPr>
      <w:r w:rsidRPr="00F13D96">
        <w:rPr>
          <w:rFonts w:ascii="Arial" w:eastAsia="Times New Roman" w:hAnsi="Arial" w:cs="Arial"/>
          <w:color w:val="000000"/>
        </w:rPr>
        <w:t>Owners and employees of ineligible companies are considered to have unresolvable financial relationships. It is the policy of the ASMBS that these individuals must be excluded from participating as planners or faculty and must not be allowed to influence or control any aspect of the planning, delivery, or evaluation of accredited continuing education except in the limited circumstances outlined in the</w:t>
      </w:r>
      <w:hyperlink r:id="rId8" w:history="1">
        <w:r w:rsidRPr="00F13D96">
          <w:rPr>
            <w:rFonts w:ascii="Arial" w:eastAsia="Times New Roman" w:hAnsi="Arial" w:cs="Arial"/>
            <w:color w:val="000000"/>
            <w:u w:val="single"/>
          </w:rPr>
          <w:t xml:space="preserve"> </w:t>
        </w:r>
        <w:r w:rsidRPr="00F13D96">
          <w:rPr>
            <w:rFonts w:ascii="Arial" w:eastAsia="Times New Roman" w:hAnsi="Arial" w:cs="Arial"/>
            <w:color w:val="0563C1"/>
            <w:u w:val="single"/>
          </w:rPr>
          <w:t>ACCME’s Standards for Integrity and Independence Standard 3.2</w:t>
        </w:r>
      </w:hyperlink>
      <w:r w:rsidRPr="00F13D96">
        <w:rPr>
          <w:rFonts w:ascii="Arial" w:eastAsia="Times New Roman" w:hAnsi="Arial" w:cs="Arial"/>
          <w:color w:val="000000"/>
        </w:rPr>
        <w:t>.</w:t>
      </w:r>
    </w:p>
    <w:p w14:paraId="06326A2B" w14:textId="77777777" w:rsidR="00626A5A" w:rsidRPr="00F13D96" w:rsidRDefault="00626A5A" w:rsidP="00626A5A">
      <w:pPr>
        <w:rPr>
          <w:rFonts w:ascii="Times New Roman" w:eastAsia="Times New Roman" w:hAnsi="Times New Roman" w:cs="Times New Roman"/>
        </w:rPr>
      </w:pPr>
      <w:r w:rsidRPr="00F13D96">
        <w:rPr>
          <w:rFonts w:ascii="Arial" w:eastAsia="Times New Roman" w:hAnsi="Arial" w:cs="Arial"/>
          <w:color w:val="000000"/>
        </w:rPr>
        <w:t> </w:t>
      </w:r>
    </w:p>
    <w:p w14:paraId="571FB8DB" w14:textId="77777777" w:rsidR="00626A5A" w:rsidRPr="00F13D96" w:rsidRDefault="00626A5A" w:rsidP="00626A5A">
      <w:pPr>
        <w:rPr>
          <w:rFonts w:ascii="Times New Roman" w:eastAsia="Times New Roman" w:hAnsi="Times New Roman" w:cs="Times New Roman"/>
        </w:rPr>
      </w:pPr>
      <w:r w:rsidRPr="00F13D96">
        <w:rPr>
          <w:rFonts w:ascii="Arial" w:eastAsia="Times New Roman" w:hAnsi="Arial" w:cs="Arial"/>
          <w:color w:val="000000"/>
        </w:rPr>
        <w:t>In accordance with the Standards for Integrity and Independence, the ASMBS considers owners and employees as individuals who have a legal duty to act in the company's best interests. Owners are defined as individuals who have an ownership interest in a company, except for stockholders of publicly traded companies, or holders of shares through a pension or mutual fund. Employees are defined as individuals hired to work for another person or business (the employer) for compensation and who are subject to the employer's direction as to the details of how to perform the job.</w:t>
      </w:r>
    </w:p>
    <w:p w14:paraId="77037D1A" w14:textId="77777777" w:rsidR="00626A5A" w:rsidRPr="00F13D96" w:rsidRDefault="00626A5A" w:rsidP="00626A5A">
      <w:pPr>
        <w:ind w:left="120"/>
        <w:rPr>
          <w:rFonts w:ascii="Times New Roman" w:eastAsia="Times New Roman" w:hAnsi="Times New Roman" w:cs="Times New Roman"/>
        </w:rPr>
      </w:pPr>
      <w:r w:rsidRPr="00F13D96">
        <w:rPr>
          <w:rFonts w:ascii="Arial" w:eastAsia="Times New Roman" w:hAnsi="Arial" w:cs="Arial"/>
          <w:color w:val="000000"/>
        </w:rPr>
        <w:t> </w:t>
      </w:r>
    </w:p>
    <w:p w14:paraId="5BE33C97" w14:textId="77777777" w:rsidR="00626A5A" w:rsidRPr="00F13D96" w:rsidRDefault="00626A5A" w:rsidP="00626A5A">
      <w:pPr>
        <w:rPr>
          <w:rFonts w:ascii="Times New Roman" w:eastAsia="Times New Roman" w:hAnsi="Times New Roman" w:cs="Times New Roman"/>
        </w:rPr>
      </w:pPr>
      <w:r w:rsidRPr="00F13D96">
        <w:rPr>
          <w:rFonts w:ascii="Arial" w:eastAsia="Times New Roman" w:hAnsi="Arial" w:cs="Arial"/>
          <w:b/>
          <w:bCs/>
          <w:color w:val="000000"/>
        </w:rPr>
        <w:t>Determination of relevant relationships</w:t>
      </w:r>
    </w:p>
    <w:p w14:paraId="3798474B" w14:textId="77777777" w:rsidR="00626A5A" w:rsidRPr="00F13D96" w:rsidRDefault="00626A5A" w:rsidP="00626A5A">
      <w:pPr>
        <w:spacing w:before="120"/>
        <w:rPr>
          <w:rFonts w:ascii="Times New Roman" w:eastAsia="Times New Roman" w:hAnsi="Times New Roman" w:cs="Times New Roman"/>
        </w:rPr>
      </w:pPr>
      <w:r w:rsidRPr="00F13D96">
        <w:rPr>
          <w:rFonts w:ascii="Arial" w:eastAsia="Times New Roman" w:hAnsi="Arial" w:cs="Arial"/>
          <w:color w:val="000000"/>
        </w:rPr>
        <w:t>Upon receipt of your disclosure information, we will review the disclosure to determine whether your financial relationships are relevant to the education. Please note: the identification of relevant financial relationships does not necessarily mean that you are unable to participate in the planning and implementation of this educational activity. Rather, the accreditation standards require that relevant financial relationships are mitigated before you assume your role in this activity. Financial relationships are relevant and will be subject to mitigation if the following three conditions are met for the prospective person who will control content of the education:</w:t>
      </w:r>
    </w:p>
    <w:p w14:paraId="57C7EB42" w14:textId="5C5E5EF8" w:rsidR="00626A5A" w:rsidRDefault="00626A5A"/>
    <w:p w14:paraId="3E4290DD" w14:textId="77777777" w:rsidR="00626A5A" w:rsidRPr="009864DD" w:rsidRDefault="00626A5A" w:rsidP="00626A5A">
      <w:pPr>
        <w:pStyle w:val="ListParagraph"/>
        <w:numPr>
          <w:ilvl w:val="0"/>
          <w:numId w:val="1"/>
        </w:numPr>
        <w:kinsoku w:val="0"/>
        <w:overflowPunct w:val="0"/>
        <w:spacing w:before="120" w:after="0" w:line="240" w:lineRule="auto"/>
        <w:ind w:right="0"/>
        <w:textAlignment w:val="baseline"/>
        <w:rPr>
          <w:rFonts w:eastAsia="Times New Roman"/>
          <w:color w:val="000000" w:themeColor="text1"/>
          <w:kern w:val="24"/>
        </w:rPr>
      </w:pPr>
      <w:r w:rsidRPr="009864DD">
        <w:rPr>
          <w:rFonts w:eastAsia="Times New Roman"/>
          <w:color w:val="000000" w:themeColor="text1"/>
          <w:kern w:val="24"/>
        </w:rPr>
        <w:t>A financial relationship, in any amount, exists between the person in control of content and an ineligible company.</w:t>
      </w:r>
    </w:p>
    <w:p w14:paraId="1ABC4F65" w14:textId="77777777" w:rsidR="00626A5A" w:rsidRPr="009864DD" w:rsidRDefault="00626A5A" w:rsidP="00626A5A">
      <w:pPr>
        <w:pStyle w:val="ListParagraph"/>
        <w:numPr>
          <w:ilvl w:val="0"/>
          <w:numId w:val="1"/>
        </w:numPr>
        <w:kinsoku w:val="0"/>
        <w:overflowPunct w:val="0"/>
        <w:spacing w:before="120" w:after="0" w:line="240" w:lineRule="auto"/>
        <w:ind w:right="0"/>
        <w:textAlignment w:val="baseline"/>
        <w:rPr>
          <w:rFonts w:eastAsia="Times New Roman"/>
          <w:color w:val="000000" w:themeColor="text1"/>
          <w:kern w:val="24"/>
        </w:rPr>
      </w:pPr>
      <w:r w:rsidRPr="009864DD">
        <w:rPr>
          <w:rFonts w:eastAsia="Times New Roman"/>
          <w:color w:val="000000" w:themeColor="text1"/>
          <w:kern w:val="24"/>
        </w:rPr>
        <w:t>The financial relationship existed during the past 24 months.</w:t>
      </w:r>
    </w:p>
    <w:p w14:paraId="453E98C1" w14:textId="77777777" w:rsidR="00626A5A" w:rsidRPr="009864DD" w:rsidRDefault="00626A5A" w:rsidP="00626A5A">
      <w:pPr>
        <w:pStyle w:val="ListParagraph"/>
        <w:numPr>
          <w:ilvl w:val="0"/>
          <w:numId w:val="1"/>
        </w:numPr>
        <w:kinsoku w:val="0"/>
        <w:overflowPunct w:val="0"/>
        <w:spacing w:before="120" w:after="0" w:line="240" w:lineRule="auto"/>
        <w:ind w:right="0"/>
        <w:textAlignment w:val="baseline"/>
        <w:rPr>
          <w:rFonts w:eastAsia="Times New Roman"/>
          <w:color w:val="000000" w:themeColor="text1"/>
          <w:kern w:val="24"/>
        </w:rPr>
      </w:pPr>
      <w:r w:rsidRPr="009864DD">
        <w:rPr>
          <w:rFonts w:eastAsia="Times New Roman"/>
          <w:color w:val="000000" w:themeColor="text1"/>
          <w:kern w:val="24"/>
        </w:rPr>
        <w:lastRenderedPageBreak/>
        <w:t>The content of the education is related to the products of an ineligible company with whom the person has a financial relationship.</w:t>
      </w:r>
    </w:p>
    <w:p w14:paraId="2B6E370C" w14:textId="59D4CEF0" w:rsidR="00626A5A" w:rsidRDefault="00626A5A"/>
    <w:p w14:paraId="149EDF51" w14:textId="77777777" w:rsidR="00626A5A" w:rsidRPr="00F13D96" w:rsidRDefault="00626A5A" w:rsidP="00626A5A">
      <w:pPr>
        <w:spacing w:before="120"/>
        <w:rPr>
          <w:rFonts w:ascii="Times New Roman" w:eastAsia="Times New Roman" w:hAnsi="Times New Roman" w:cs="Times New Roman"/>
        </w:rPr>
      </w:pPr>
      <w:r w:rsidRPr="00F13D96">
        <w:rPr>
          <w:rFonts w:ascii="Arial" w:eastAsia="Times New Roman" w:hAnsi="Arial" w:cs="Arial"/>
          <w:b/>
          <w:bCs/>
          <w:color w:val="000000"/>
        </w:rPr>
        <w:t>Mitigation of relevant financial relationships</w:t>
      </w:r>
    </w:p>
    <w:p w14:paraId="2DE9E0F2" w14:textId="77777777" w:rsidR="00626A5A" w:rsidRPr="00F13D96" w:rsidRDefault="00626A5A" w:rsidP="00626A5A">
      <w:pPr>
        <w:spacing w:before="120"/>
        <w:rPr>
          <w:rFonts w:ascii="Times New Roman" w:eastAsia="Times New Roman" w:hAnsi="Times New Roman" w:cs="Times New Roman"/>
        </w:rPr>
      </w:pPr>
      <w:r w:rsidRPr="00F13D96">
        <w:rPr>
          <w:rFonts w:ascii="Arial" w:eastAsia="Times New Roman" w:hAnsi="Arial" w:cs="Arial"/>
          <w:color w:val="000000"/>
        </w:rPr>
        <w:t>Using the lists below, we will identify which mitigation strategy(</w:t>
      </w:r>
      <w:proofErr w:type="spellStart"/>
      <w:r w:rsidRPr="00F13D96">
        <w:rPr>
          <w:rFonts w:ascii="Arial" w:eastAsia="Times New Roman" w:hAnsi="Arial" w:cs="Arial"/>
          <w:color w:val="000000"/>
        </w:rPr>
        <w:t>ies</w:t>
      </w:r>
      <w:proofErr w:type="spellEnd"/>
      <w:r w:rsidRPr="00F13D96">
        <w:rPr>
          <w:rFonts w:ascii="Arial" w:eastAsia="Times New Roman" w:hAnsi="Arial" w:cs="Arial"/>
          <w:color w:val="000000"/>
        </w:rPr>
        <w:t>) will be used for all persons with relevant financial relationships (as described in determination of relevant relationships) who control the educational content of the educational activity.</w:t>
      </w:r>
    </w:p>
    <w:p w14:paraId="5413BF4D" w14:textId="61365AC4" w:rsidR="00626A5A" w:rsidRDefault="00626A5A"/>
    <w:p w14:paraId="5CC53F72" w14:textId="77777777" w:rsidR="00626A5A" w:rsidRPr="009864DD" w:rsidRDefault="00626A5A" w:rsidP="00626A5A">
      <w:pPr>
        <w:rPr>
          <w:rFonts w:ascii="Arial" w:hAnsi="Arial" w:cs="Arial"/>
          <w:i/>
          <w:iCs/>
        </w:rPr>
      </w:pPr>
      <w:r w:rsidRPr="009864DD">
        <w:rPr>
          <w:rFonts w:ascii="Arial" w:hAnsi="Arial" w:cs="Arial"/>
        </w:rPr>
        <w:t>The following are the mitigation steps for planners:</w:t>
      </w:r>
      <w:r w:rsidRPr="009864DD">
        <w:rPr>
          <w:rFonts w:ascii="Arial" w:hAnsi="Arial" w:cs="Arial"/>
          <w:i/>
          <w:iCs/>
        </w:rPr>
        <w:t xml:space="preserve"> </w:t>
      </w:r>
      <w:r w:rsidRPr="009864DD">
        <w:rPr>
          <w:rFonts w:ascii="Arial" w:hAnsi="Arial" w:cs="Arial"/>
          <w:i/>
          <w:iCs/>
        </w:rPr>
        <w:tab/>
      </w:r>
    </w:p>
    <w:p w14:paraId="161FD6E7" w14:textId="77777777" w:rsidR="00626A5A" w:rsidRPr="009864DD" w:rsidRDefault="00626A5A" w:rsidP="00626A5A">
      <w:pPr>
        <w:rPr>
          <w:rFonts w:ascii="Arial" w:hAnsi="Arial" w:cs="Arial"/>
        </w:rPr>
      </w:pPr>
      <w:r w:rsidRPr="009864DD">
        <w:rPr>
          <w:rFonts w:ascii="Arial" w:hAnsi="Arial" w:cs="Arial"/>
        </w:rPr>
        <w:t xml:space="preserve"> </w:t>
      </w:r>
    </w:p>
    <w:p w14:paraId="5E841144" w14:textId="77777777" w:rsidR="00626A5A" w:rsidRPr="009864DD" w:rsidRDefault="00626A5A" w:rsidP="00626A5A">
      <w:pPr>
        <w:pStyle w:val="ListParagraph"/>
        <w:numPr>
          <w:ilvl w:val="0"/>
          <w:numId w:val="2"/>
        </w:numPr>
        <w:spacing w:after="0" w:line="240" w:lineRule="auto"/>
        <w:ind w:right="0"/>
      </w:pPr>
      <w:r w:rsidRPr="009864DD">
        <w:t>Divest the financial relationship</w:t>
      </w:r>
    </w:p>
    <w:p w14:paraId="0B974422" w14:textId="77777777" w:rsidR="00626A5A" w:rsidRPr="009864DD" w:rsidRDefault="00626A5A" w:rsidP="00626A5A">
      <w:pPr>
        <w:pStyle w:val="ListParagraph"/>
        <w:numPr>
          <w:ilvl w:val="0"/>
          <w:numId w:val="2"/>
        </w:numPr>
        <w:spacing w:after="0" w:line="240" w:lineRule="auto"/>
        <w:ind w:right="0"/>
      </w:pPr>
      <w:r w:rsidRPr="009864DD">
        <w:t>Recusal from controlling aspects of planning and content with which there is a financial relationship</w:t>
      </w:r>
    </w:p>
    <w:p w14:paraId="451D8B71" w14:textId="77777777" w:rsidR="00626A5A" w:rsidRPr="009864DD" w:rsidRDefault="00626A5A" w:rsidP="00626A5A">
      <w:pPr>
        <w:pStyle w:val="ListParagraph"/>
        <w:numPr>
          <w:ilvl w:val="0"/>
          <w:numId w:val="2"/>
        </w:numPr>
        <w:spacing w:after="0" w:line="240" w:lineRule="auto"/>
        <w:ind w:right="0"/>
      </w:pPr>
      <w:r w:rsidRPr="009864DD">
        <w:t>Peer review of planning decisions by persons without relevant financial relationships</w:t>
      </w:r>
    </w:p>
    <w:p w14:paraId="197B45A5" w14:textId="77777777" w:rsidR="00626A5A" w:rsidRPr="009864DD" w:rsidRDefault="00626A5A" w:rsidP="00626A5A">
      <w:pPr>
        <w:rPr>
          <w:rFonts w:ascii="Arial" w:hAnsi="Arial" w:cs="Arial"/>
        </w:rPr>
      </w:pPr>
      <w:r w:rsidRPr="009864DD">
        <w:rPr>
          <w:rFonts w:ascii="Arial" w:hAnsi="Arial" w:cs="Arial"/>
        </w:rPr>
        <w:t xml:space="preserve">          </w:t>
      </w:r>
    </w:p>
    <w:p w14:paraId="292B8B62" w14:textId="77777777" w:rsidR="00626A5A" w:rsidRPr="009864DD" w:rsidRDefault="00626A5A" w:rsidP="00626A5A">
      <w:pPr>
        <w:rPr>
          <w:rFonts w:ascii="Arial" w:hAnsi="Arial" w:cs="Arial"/>
        </w:rPr>
      </w:pPr>
      <w:r w:rsidRPr="009864DD">
        <w:rPr>
          <w:rFonts w:ascii="Arial" w:hAnsi="Arial" w:cs="Arial"/>
        </w:rPr>
        <w:t xml:space="preserve">The following are the mitigation steps for faculty and others: </w:t>
      </w:r>
    </w:p>
    <w:p w14:paraId="068EEA2C" w14:textId="77777777" w:rsidR="00626A5A" w:rsidRPr="009864DD" w:rsidRDefault="00626A5A" w:rsidP="00626A5A">
      <w:pPr>
        <w:rPr>
          <w:rFonts w:ascii="Arial" w:hAnsi="Arial" w:cs="Arial"/>
        </w:rPr>
      </w:pPr>
    </w:p>
    <w:p w14:paraId="33BA5CF9" w14:textId="77777777" w:rsidR="00626A5A" w:rsidRPr="009864DD" w:rsidRDefault="00626A5A" w:rsidP="00626A5A">
      <w:pPr>
        <w:pStyle w:val="ListParagraph"/>
        <w:numPr>
          <w:ilvl w:val="0"/>
          <w:numId w:val="2"/>
        </w:numPr>
        <w:spacing w:after="0" w:line="240" w:lineRule="auto"/>
        <w:ind w:right="0"/>
      </w:pPr>
      <w:r w:rsidRPr="009864DD">
        <w:t>Divest the financial relationship</w:t>
      </w:r>
    </w:p>
    <w:p w14:paraId="0F8D7EC6" w14:textId="77777777" w:rsidR="00626A5A" w:rsidRPr="009864DD" w:rsidRDefault="00626A5A" w:rsidP="00626A5A">
      <w:pPr>
        <w:pStyle w:val="ListParagraph"/>
        <w:numPr>
          <w:ilvl w:val="0"/>
          <w:numId w:val="2"/>
        </w:numPr>
        <w:spacing w:after="0" w:line="240" w:lineRule="auto"/>
        <w:ind w:right="0"/>
      </w:pPr>
      <w:r w:rsidRPr="009864DD">
        <w:t>Peer review of content by persons without relevant financial relationships</w:t>
      </w:r>
    </w:p>
    <w:p w14:paraId="42451BE4" w14:textId="77777777" w:rsidR="00626A5A" w:rsidRPr="009864DD" w:rsidRDefault="00626A5A" w:rsidP="00626A5A">
      <w:pPr>
        <w:pStyle w:val="ListParagraph"/>
        <w:numPr>
          <w:ilvl w:val="0"/>
          <w:numId w:val="2"/>
        </w:numPr>
        <w:spacing w:after="0" w:line="240" w:lineRule="auto"/>
        <w:ind w:right="0"/>
      </w:pPr>
      <w:r w:rsidRPr="009864DD">
        <w:t>Attest that clinical recommendations are evidence-based and free of commercial bias (e.g., peer-reviewed literature, adhering to evidence-based practice guidelines)</w:t>
      </w:r>
    </w:p>
    <w:p w14:paraId="7D450B08" w14:textId="73BD49D8" w:rsidR="00626A5A" w:rsidRDefault="00626A5A"/>
    <w:p w14:paraId="48EE73B3" w14:textId="77777777" w:rsidR="00626A5A" w:rsidRPr="00F13D96" w:rsidRDefault="00626A5A" w:rsidP="00626A5A">
      <w:pPr>
        <w:spacing w:after="160"/>
        <w:rPr>
          <w:rFonts w:ascii="Times New Roman" w:eastAsia="Times New Roman" w:hAnsi="Times New Roman" w:cs="Times New Roman"/>
        </w:rPr>
      </w:pPr>
      <w:r w:rsidRPr="00F13D96">
        <w:rPr>
          <w:rFonts w:ascii="Arial" w:eastAsia="Times New Roman" w:hAnsi="Arial" w:cs="Arial"/>
          <w:b/>
          <w:bCs/>
          <w:color w:val="000000"/>
        </w:rPr>
        <w:t>Planner(s), moderator(s</w:t>
      </w:r>
      <w:proofErr w:type="gramStart"/>
      <w:r w:rsidRPr="00F13D96">
        <w:rPr>
          <w:rFonts w:ascii="Arial" w:eastAsia="Times New Roman" w:hAnsi="Arial" w:cs="Arial"/>
          <w:b/>
          <w:bCs/>
          <w:color w:val="000000"/>
        </w:rPr>
        <w:t>)</w:t>
      </w:r>
      <w:proofErr w:type="gramEnd"/>
      <w:r w:rsidRPr="00F13D96">
        <w:rPr>
          <w:rFonts w:ascii="Arial" w:eastAsia="Times New Roman" w:hAnsi="Arial" w:cs="Arial"/>
          <w:b/>
          <w:bCs/>
          <w:color w:val="000000"/>
        </w:rPr>
        <w:t xml:space="preserve"> and speaker(s) disclosures are to be collected prior to the start of developing and/or agreeing to participate in an activity. This application will not be approved until the ASMBS has received all disclosures.</w:t>
      </w:r>
    </w:p>
    <w:p w14:paraId="3FC6CE8B" w14:textId="2CB1AE93" w:rsidR="00626A5A" w:rsidRDefault="00000000" w:rsidP="00626A5A">
      <w:pPr>
        <w:rPr>
          <w:rFonts w:ascii="Arial" w:eastAsia="Times New Roman" w:hAnsi="Arial" w:cs="Arial"/>
          <w:b/>
          <w:bCs/>
          <w:color w:val="0563C1"/>
          <w:u w:val="single"/>
        </w:rPr>
      </w:pPr>
      <w:hyperlink r:id="rId9" w:history="1">
        <w:r w:rsidR="00626A5A" w:rsidRPr="00F13D96">
          <w:rPr>
            <w:rFonts w:ascii="Arial" w:eastAsia="Times New Roman" w:hAnsi="Arial" w:cs="Arial"/>
            <w:b/>
            <w:bCs/>
            <w:color w:val="0563C1"/>
            <w:u w:val="single"/>
          </w:rPr>
          <w:t>https://asmbs.org/financial-relationship-disclosure-form</w:t>
        </w:r>
      </w:hyperlink>
    </w:p>
    <w:p w14:paraId="3782F959" w14:textId="36A48ACC" w:rsidR="00626A5A" w:rsidRDefault="00626A5A" w:rsidP="00626A5A">
      <w:pPr>
        <w:rPr>
          <w:rFonts w:ascii="Arial" w:eastAsia="Times New Roman" w:hAnsi="Arial" w:cs="Arial"/>
          <w:b/>
          <w:bCs/>
          <w:color w:val="0563C1"/>
          <w:u w:val="single"/>
        </w:rPr>
      </w:pPr>
    </w:p>
    <w:p w14:paraId="420E1EE8" w14:textId="77777777" w:rsidR="00626A5A" w:rsidRPr="009864DD" w:rsidRDefault="00626A5A" w:rsidP="00626A5A">
      <w:pPr>
        <w:spacing w:after="240" w:line="259" w:lineRule="auto"/>
        <w:jc w:val="center"/>
        <w:rPr>
          <w:rFonts w:ascii="Arial" w:hAnsi="Arial" w:cs="Arial"/>
          <w:b/>
          <w:bCs/>
        </w:rPr>
      </w:pPr>
      <w:r w:rsidRPr="009864DD">
        <w:rPr>
          <w:rFonts w:ascii="Arial" w:hAnsi="Arial" w:cs="Arial"/>
          <w:b/>
          <w:bCs/>
        </w:rPr>
        <w:t>Educational Planning</w:t>
      </w:r>
    </w:p>
    <w:p w14:paraId="32C48E16" w14:textId="77777777" w:rsidR="00626A5A" w:rsidRPr="009864DD" w:rsidRDefault="00626A5A" w:rsidP="00626A5A">
      <w:pPr>
        <w:rPr>
          <w:rFonts w:ascii="Arial" w:hAnsi="Arial" w:cs="Arial"/>
          <w:b/>
          <w:bCs/>
        </w:rPr>
      </w:pPr>
      <w:r w:rsidRPr="009864DD">
        <w:rPr>
          <w:rFonts w:ascii="Arial" w:hAnsi="Arial" w:cs="Arial"/>
          <w:b/>
          <w:bCs/>
        </w:rPr>
        <w:t>Educational Needs</w:t>
      </w:r>
    </w:p>
    <w:p w14:paraId="398BB9BC" w14:textId="77777777" w:rsidR="00626A5A" w:rsidRPr="009864DD" w:rsidRDefault="00626A5A" w:rsidP="00626A5A">
      <w:pPr>
        <w:rPr>
          <w:rFonts w:ascii="Arial" w:hAnsi="Arial" w:cs="Arial"/>
        </w:rPr>
      </w:pPr>
      <w:r w:rsidRPr="009864DD">
        <w:rPr>
          <w:rFonts w:ascii="Arial" w:hAnsi="Arial" w:cs="Arial"/>
        </w:rPr>
        <w:t xml:space="preserve">The provider incorporates into CME activities the educational needs (knowledge, competence, or performance) that underline the professional gaps of their own learners. </w:t>
      </w:r>
    </w:p>
    <w:p w14:paraId="40612FAC" w14:textId="77777777" w:rsidR="00626A5A" w:rsidRPr="009864DD" w:rsidRDefault="00626A5A" w:rsidP="00626A5A">
      <w:pPr>
        <w:rPr>
          <w:rFonts w:ascii="Arial" w:hAnsi="Arial" w:cs="Arial"/>
        </w:rPr>
      </w:pPr>
    </w:p>
    <w:p w14:paraId="6B6EB32C" w14:textId="77777777" w:rsidR="00626A5A" w:rsidRPr="009864DD" w:rsidRDefault="00626A5A" w:rsidP="00626A5A">
      <w:pPr>
        <w:pStyle w:val="ListParagraph"/>
        <w:numPr>
          <w:ilvl w:val="0"/>
          <w:numId w:val="3"/>
        </w:numPr>
      </w:pPr>
      <w:r w:rsidRPr="009864DD">
        <w:t>Provide the professional practice gap(s) of your learners on which the activity was based.</w:t>
      </w:r>
    </w:p>
    <w:p w14:paraId="10DC8916" w14:textId="2864D046" w:rsidR="00626A5A" w:rsidRPr="009864DD" w:rsidRDefault="00626A5A" w:rsidP="00626A5A">
      <w:pPr>
        <w:pStyle w:val="ListParagraph"/>
        <w:rPr>
          <w:i/>
          <w:iCs/>
        </w:rPr>
      </w:pPr>
      <w:r w:rsidRPr="009864DD">
        <w:rPr>
          <w:i/>
          <w:iCs/>
        </w:rPr>
        <w:t>Example:</w:t>
      </w:r>
      <w:r w:rsidR="00567846">
        <w:rPr>
          <w:i/>
          <w:iCs/>
        </w:rPr>
        <w:t xml:space="preserve"> </w:t>
      </w:r>
      <w:r w:rsidR="00567846" w:rsidRPr="00567846">
        <w:rPr>
          <w:i/>
          <w:iCs/>
        </w:rPr>
        <w:t xml:space="preserve">Providers are often aware of their </w:t>
      </w:r>
      <w:proofErr w:type="gramStart"/>
      <w:r w:rsidR="00567846" w:rsidRPr="00567846">
        <w:rPr>
          <w:i/>
          <w:iCs/>
        </w:rPr>
        <w:t>particular disciplines</w:t>
      </w:r>
      <w:proofErr w:type="gramEnd"/>
      <w:r w:rsidR="00567846" w:rsidRPr="00567846">
        <w:rPr>
          <w:i/>
          <w:iCs/>
        </w:rPr>
        <w:t xml:space="preserve"> and/or program’s protocols and strategies but are unaware of alternative perspectives.  Best practices develop as interdisciplinary viewpoints are shared and alternative strategies are reviewed in this format. This course was designed to have professionals from different professional backgrounds share knowledge and practice guidelines from a variety of different specialties (including but not limited to surgery, behavioral health, nutrition, and advanced practice providers)</w:t>
      </w:r>
      <w:r w:rsidR="00567846">
        <w:rPr>
          <w:i/>
          <w:iCs/>
        </w:rPr>
        <w:br/>
      </w:r>
    </w:p>
    <w:p w14:paraId="7783CC42" w14:textId="77777777" w:rsidR="00626A5A" w:rsidRPr="009864DD" w:rsidRDefault="00626A5A" w:rsidP="00626A5A">
      <w:pPr>
        <w:pStyle w:val="ListParagraph"/>
        <w:ind w:firstLine="0"/>
      </w:pPr>
      <w:r w:rsidRPr="009864DD">
        <w:fldChar w:fldCharType="begin">
          <w:ffData>
            <w:name w:val="Text17"/>
            <w:enabled/>
            <w:calcOnExit w:val="0"/>
            <w:textInput/>
          </w:ffData>
        </w:fldChar>
      </w:r>
      <w:bookmarkStart w:id="9" w:name="Text17"/>
      <w:r w:rsidRPr="009864DD">
        <w:instrText xml:space="preserve"> FORMTEXT </w:instrText>
      </w:r>
      <w:r w:rsidRPr="009864DD">
        <w:fldChar w:fldCharType="separate"/>
      </w:r>
      <w:r w:rsidRPr="009864DD">
        <w:rPr>
          <w:noProof/>
        </w:rPr>
        <w:t> </w:t>
      </w:r>
      <w:r w:rsidRPr="009864DD">
        <w:rPr>
          <w:noProof/>
        </w:rPr>
        <w:t> </w:t>
      </w:r>
      <w:r w:rsidRPr="009864DD">
        <w:rPr>
          <w:noProof/>
        </w:rPr>
        <w:t> </w:t>
      </w:r>
      <w:r w:rsidRPr="009864DD">
        <w:rPr>
          <w:noProof/>
        </w:rPr>
        <w:t> </w:t>
      </w:r>
      <w:r w:rsidRPr="009864DD">
        <w:rPr>
          <w:noProof/>
        </w:rPr>
        <w:t> </w:t>
      </w:r>
      <w:r w:rsidRPr="009864DD">
        <w:fldChar w:fldCharType="end"/>
      </w:r>
      <w:bookmarkEnd w:id="9"/>
    </w:p>
    <w:p w14:paraId="163FF3D2" w14:textId="77777777" w:rsidR="00626A5A" w:rsidRPr="009864DD" w:rsidRDefault="00626A5A" w:rsidP="00626A5A">
      <w:pPr>
        <w:pStyle w:val="ListParagraph"/>
        <w:ind w:firstLine="0"/>
      </w:pPr>
    </w:p>
    <w:p w14:paraId="2E796BDF" w14:textId="77777777" w:rsidR="00626A5A" w:rsidRPr="009864DD" w:rsidRDefault="00626A5A" w:rsidP="00626A5A">
      <w:pPr>
        <w:pStyle w:val="ListParagraph"/>
        <w:numPr>
          <w:ilvl w:val="0"/>
          <w:numId w:val="3"/>
        </w:numPr>
      </w:pPr>
      <w:r w:rsidRPr="009864DD">
        <w:t>Check the educational need(s) that apply to this activity:</w:t>
      </w:r>
    </w:p>
    <w:p w14:paraId="032C26C7" w14:textId="77777777" w:rsidR="00626A5A" w:rsidRPr="009864DD" w:rsidRDefault="00626A5A" w:rsidP="00626A5A">
      <w:pPr>
        <w:pStyle w:val="ListParagraph"/>
        <w:ind w:firstLine="0"/>
      </w:pPr>
      <w:r w:rsidRPr="009864DD">
        <w:fldChar w:fldCharType="begin">
          <w:ffData>
            <w:name w:val="Check18"/>
            <w:enabled/>
            <w:calcOnExit w:val="0"/>
            <w:checkBox>
              <w:sizeAuto/>
              <w:default w:val="0"/>
            </w:checkBox>
          </w:ffData>
        </w:fldChar>
      </w:r>
      <w:bookmarkStart w:id="10" w:name="Check18"/>
      <w:r w:rsidRPr="009864DD">
        <w:instrText xml:space="preserve"> FORMCHECKBOX </w:instrText>
      </w:r>
      <w:r w:rsidR="00000000">
        <w:fldChar w:fldCharType="separate"/>
      </w:r>
      <w:r w:rsidRPr="009864DD">
        <w:fldChar w:fldCharType="end"/>
      </w:r>
      <w:bookmarkEnd w:id="10"/>
      <w:r w:rsidRPr="009864DD">
        <w:t xml:space="preserve"> Knowledge </w:t>
      </w:r>
    </w:p>
    <w:p w14:paraId="4FD84ED3" w14:textId="77777777" w:rsidR="00626A5A" w:rsidRPr="009864DD" w:rsidRDefault="00626A5A" w:rsidP="00626A5A">
      <w:pPr>
        <w:pStyle w:val="ListParagraph"/>
        <w:ind w:firstLine="0"/>
      </w:pPr>
      <w:r w:rsidRPr="009864DD">
        <w:fldChar w:fldCharType="begin">
          <w:ffData>
            <w:name w:val="Check19"/>
            <w:enabled/>
            <w:calcOnExit w:val="0"/>
            <w:checkBox>
              <w:sizeAuto/>
              <w:default w:val="0"/>
            </w:checkBox>
          </w:ffData>
        </w:fldChar>
      </w:r>
      <w:bookmarkStart w:id="11" w:name="Check19"/>
      <w:r w:rsidRPr="009864DD">
        <w:instrText xml:space="preserve"> FORMCHECKBOX </w:instrText>
      </w:r>
      <w:r w:rsidR="00000000">
        <w:fldChar w:fldCharType="separate"/>
      </w:r>
      <w:r w:rsidRPr="009864DD">
        <w:fldChar w:fldCharType="end"/>
      </w:r>
      <w:bookmarkEnd w:id="11"/>
      <w:r w:rsidRPr="009864DD">
        <w:t xml:space="preserve"> Competence </w:t>
      </w:r>
    </w:p>
    <w:p w14:paraId="3854C6C7" w14:textId="77777777" w:rsidR="00626A5A" w:rsidRPr="009864DD" w:rsidRDefault="00626A5A" w:rsidP="00626A5A">
      <w:pPr>
        <w:pStyle w:val="ListParagraph"/>
        <w:ind w:firstLine="0"/>
      </w:pPr>
      <w:r w:rsidRPr="009864DD">
        <w:fldChar w:fldCharType="begin">
          <w:ffData>
            <w:name w:val="Check20"/>
            <w:enabled/>
            <w:calcOnExit w:val="0"/>
            <w:checkBox>
              <w:sizeAuto/>
              <w:default w:val="0"/>
            </w:checkBox>
          </w:ffData>
        </w:fldChar>
      </w:r>
      <w:bookmarkStart w:id="12" w:name="Check20"/>
      <w:r w:rsidRPr="009864DD">
        <w:instrText xml:space="preserve"> FORMCHECKBOX </w:instrText>
      </w:r>
      <w:r w:rsidR="00000000">
        <w:fldChar w:fldCharType="separate"/>
      </w:r>
      <w:r w:rsidRPr="009864DD">
        <w:fldChar w:fldCharType="end"/>
      </w:r>
      <w:bookmarkEnd w:id="12"/>
      <w:r w:rsidRPr="009864DD">
        <w:t xml:space="preserve"> Performance </w:t>
      </w:r>
    </w:p>
    <w:p w14:paraId="275A8DC5" w14:textId="77777777" w:rsidR="00626A5A" w:rsidRPr="009864DD" w:rsidRDefault="00626A5A" w:rsidP="00626A5A">
      <w:pPr>
        <w:pStyle w:val="ListParagraph"/>
        <w:ind w:firstLine="0"/>
      </w:pPr>
    </w:p>
    <w:p w14:paraId="57FD915C" w14:textId="77777777" w:rsidR="00626A5A" w:rsidRPr="009864DD" w:rsidRDefault="00626A5A" w:rsidP="00626A5A">
      <w:pPr>
        <w:pStyle w:val="ListParagraph"/>
        <w:numPr>
          <w:ilvl w:val="0"/>
          <w:numId w:val="3"/>
        </w:numPr>
      </w:pPr>
      <w:r w:rsidRPr="009864DD">
        <w:lastRenderedPageBreak/>
        <w:t xml:space="preserve">State the educational need(s) that you determined to be the cause of the professional practice gap(s). </w:t>
      </w:r>
    </w:p>
    <w:p w14:paraId="35BE6B9C" w14:textId="05DFC47A" w:rsidR="00626A5A" w:rsidRPr="009864DD" w:rsidRDefault="00626A5A" w:rsidP="00626A5A">
      <w:pPr>
        <w:pStyle w:val="ListParagraph"/>
        <w:ind w:firstLine="0"/>
        <w:rPr>
          <w:i/>
          <w:iCs/>
        </w:rPr>
      </w:pPr>
      <w:r w:rsidRPr="009864DD">
        <w:rPr>
          <w:i/>
          <w:iCs/>
        </w:rPr>
        <w:t xml:space="preserve">Example: </w:t>
      </w:r>
      <w:r w:rsidR="00567846" w:rsidRPr="00567846">
        <w:rPr>
          <w:i/>
          <w:iCs/>
        </w:rPr>
        <w:t xml:space="preserve">Bariatric surgery involves an ever-changing field with clinical updates and new surgical interventions. Program to include information for integrated health professionals who work within a bariatric program </w:t>
      </w:r>
      <w:proofErr w:type="gramStart"/>
      <w:r w:rsidR="00567846" w:rsidRPr="00567846">
        <w:rPr>
          <w:i/>
          <w:iCs/>
        </w:rPr>
        <w:t>in order to</w:t>
      </w:r>
      <w:proofErr w:type="gramEnd"/>
      <w:r w:rsidR="00567846" w:rsidRPr="00567846">
        <w:rPr>
          <w:i/>
          <w:iCs/>
        </w:rPr>
        <w:t xml:space="preserve"> facilitate learning about up-to-date treatments and recommendations for patients affected by obesity.</w:t>
      </w:r>
      <w:r w:rsidR="00567846">
        <w:rPr>
          <w:i/>
          <w:iCs/>
        </w:rPr>
        <w:br/>
      </w:r>
    </w:p>
    <w:p w14:paraId="65331CCE" w14:textId="77777777" w:rsidR="00626A5A" w:rsidRPr="009864DD" w:rsidRDefault="00626A5A" w:rsidP="00626A5A">
      <w:pPr>
        <w:pStyle w:val="ListParagraph"/>
        <w:ind w:firstLine="0"/>
      </w:pPr>
      <w:r w:rsidRPr="009864DD">
        <w:fldChar w:fldCharType="begin">
          <w:ffData>
            <w:name w:val="Text18"/>
            <w:enabled/>
            <w:calcOnExit w:val="0"/>
            <w:textInput/>
          </w:ffData>
        </w:fldChar>
      </w:r>
      <w:bookmarkStart w:id="13" w:name="Text18"/>
      <w:r w:rsidRPr="009864DD">
        <w:instrText xml:space="preserve"> FORMTEXT </w:instrText>
      </w:r>
      <w:r w:rsidRPr="009864DD">
        <w:fldChar w:fldCharType="separate"/>
      </w:r>
      <w:r w:rsidRPr="009864DD">
        <w:rPr>
          <w:noProof/>
        </w:rPr>
        <w:t> </w:t>
      </w:r>
      <w:r w:rsidRPr="009864DD">
        <w:rPr>
          <w:noProof/>
        </w:rPr>
        <w:t> </w:t>
      </w:r>
      <w:r w:rsidRPr="009864DD">
        <w:rPr>
          <w:noProof/>
        </w:rPr>
        <w:t> </w:t>
      </w:r>
      <w:r w:rsidRPr="009864DD">
        <w:rPr>
          <w:noProof/>
        </w:rPr>
        <w:t> </w:t>
      </w:r>
      <w:r w:rsidRPr="009864DD">
        <w:rPr>
          <w:noProof/>
        </w:rPr>
        <w:t> </w:t>
      </w:r>
      <w:r w:rsidRPr="009864DD">
        <w:fldChar w:fldCharType="end"/>
      </w:r>
      <w:bookmarkEnd w:id="13"/>
    </w:p>
    <w:p w14:paraId="74E50292" w14:textId="77777777" w:rsidR="00626A5A" w:rsidRPr="009864DD" w:rsidRDefault="00626A5A" w:rsidP="00626A5A">
      <w:pPr>
        <w:ind w:left="360"/>
        <w:rPr>
          <w:rFonts w:ascii="Arial" w:hAnsi="Arial" w:cs="Arial"/>
        </w:rPr>
      </w:pPr>
    </w:p>
    <w:p w14:paraId="10A07EEC" w14:textId="77777777" w:rsidR="00626A5A" w:rsidRPr="009864DD" w:rsidRDefault="00626A5A" w:rsidP="00626A5A">
      <w:pPr>
        <w:rPr>
          <w:rFonts w:ascii="Arial" w:hAnsi="Arial" w:cs="Arial"/>
          <w:b/>
          <w:bCs/>
        </w:rPr>
      </w:pPr>
      <w:r w:rsidRPr="009864DD">
        <w:rPr>
          <w:rFonts w:ascii="Arial" w:hAnsi="Arial" w:cs="Arial"/>
          <w:b/>
          <w:bCs/>
        </w:rPr>
        <w:t>Designed to Change</w:t>
      </w:r>
    </w:p>
    <w:p w14:paraId="7831DC27" w14:textId="77777777" w:rsidR="00626A5A" w:rsidRPr="009864DD" w:rsidRDefault="00626A5A" w:rsidP="00626A5A">
      <w:pPr>
        <w:rPr>
          <w:rFonts w:ascii="Arial" w:hAnsi="Arial" w:cs="Arial"/>
        </w:rPr>
      </w:pPr>
      <w:r w:rsidRPr="009864DD">
        <w:rPr>
          <w:rFonts w:ascii="Arial" w:hAnsi="Arial" w:cs="Arial"/>
        </w:rPr>
        <w:t>The provider generates activities/educational interventions that are designed to change competence, performance or patient outcomes as described in its mission statement.</w:t>
      </w:r>
    </w:p>
    <w:p w14:paraId="2BD7BBC1" w14:textId="77777777" w:rsidR="00626A5A" w:rsidRPr="009864DD" w:rsidRDefault="00626A5A" w:rsidP="00626A5A">
      <w:pPr>
        <w:rPr>
          <w:rFonts w:ascii="Arial" w:hAnsi="Arial" w:cs="Arial"/>
        </w:rPr>
      </w:pPr>
    </w:p>
    <w:p w14:paraId="0E4AB10F" w14:textId="77777777" w:rsidR="00626A5A" w:rsidRPr="009864DD" w:rsidRDefault="00626A5A" w:rsidP="00626A5A">
      <w:pPr>
        <w:rPr>
          <w:rFonts w:ascii="Arial" w:hAnsi="Arial" w:cs="Arial"/>
        </w:rPr>
      </w:pPr>
      <w:r w:rsidRPr="009864DD">
        <w:rPr>
          <w:rFonts w:ascii="Arial" w:hAnsi="Arial" w:cs="Arial"/>
        </w:rPr>
        <w:t>Explain what competence, performance, or patient outcome this activity was designed to change.</w:t>
      </w:r>
    </w:p>
    <w:p w14:paraId="62774D09" w14:textId="1ED565D1" w:rsidR="00626A5A" w:rsidRPr="009864DD" w:rsidRDefault="00626A5A" w:rsidP="00626A5A">
      <w:pPr>
        <w:rPr>
          <w:rFonts w:ascii="Arial" w:hAnsi="Arial" w:cs="Arial"/>
          <w:i/>
          <w:iCs/>
        </w:rPr>
      </w:pPr>
      <w:r w:rsidRPr="009864DD">
        <w:rPr>
          <w:rFonts w:ascii="Arial" w:hAnsi="Arial" w:cs="Arial"/>
          <w:i/>
          <w:iCs/>
        </w:rPr>
        <w:t>Example:</w:t>
      </w:r>
      <w:r w:rsidR="00567846">
        <w:rPr>
          <w:rFonts w:ascii="Arial" w:hAnsi="Arial" w:cs="Arial"/>
          <w:i/>
          <w:iCs/>
        </w:rPr>
        <w:t xml:space="preserve"> </w:t>
      </w:r>
      <w:r w:rsidR="00567846" w:rsidRPr="00567846">
        <w:rPr>
          <w:rFonts w:ascii="Arial" w:hAnsi="Arial" w:cs="Arial"/>
          <w:i/>
          <w:iCs/>
        </w:rPr>
        <w:t>Learners will obtain information to guide treatment decision making regarding bariatric surgery, including patient’s nutritional, medical and psychosocial readiness for surgery.  Learners will be informed about pre- and post-surgical care for individuals affected by obesity, including ways to reduce weight-based stigmatization in a bariatric surgery practice.</w:t>
      </w:r>
      <w:r w:rsidR="00567846">
        <w:rPr>
          <w:rFonts w:ascii="Arial" w:hAnsi="Arial" w:cs="Arial"/>
          <w:i/>
          <w:iCs/>
        </w:rPr>
        <w:br/>
      </w:r>
    </w:p>
    <w:p w14:paraId="15D34224" w14:textId="77777777" w:rsidR="00626A5A" w:rsidRPr="009864DD" w:rsidRDefault="00626A5A" w:rsidP="00626A5A">
      <w:pPr>
        <w:rPr>
          <w:rFonts w:ascii="Arial" w:hAnsi="Arial" w:cs="Arial"/>
        </w:rPr>
      </w:pPr>
      <w:r w:rsidRPr="009864DD">
        <w:rPr>
          <w:rFonts w:ascii="Arial" w:hAnsi="Arial" w:cs="Arial"/>
        </w:rPr>
        <w:fldChar w:fldCharType="begin">
          <w:ffData>
            <w:name w:val="Text19"/>
            <w:enabled/>
            <w:calcOnExit w:val="0"/>
            <w:textInput/>
          </w:ffData>
        </w:fldChar>
      </w:r>
      <w:bookmarkStart w:id="14" w:name="Text19"/>
      <w:r w:rsidRPr="009864DD">
        <w:rPr>
          <w:rFonts w:ascii="Arial" w:hAnsi="Arial" w:cs="Arial"/>
        </w:rPr>
        <w:instrText xml:space="preserve"> FORMTEXT </w:instrText>
      </w:r>
      <w:r w:rsidRPr="009864DD">
        <w:rPr>
          <w:rFonts w:ascii="Arial" w:hAnsi="Arial" w:cs="Arial"/>
        </w:rPr>
      </w:r>
      <w:r w:rsidRPr="009864DD">
        <w:rPr>
          <w:rFonts w:ascii="Arial" w:hAnsi="Arial" w:cs="Arial"/>
        </w:rPr>
        <w:fldChar w:fldCharType="separate"/>
      </w:r>
      <w:r w:rsidRPr="009864DD">
        <w:rPr>
          <w:rFonts w:ascii="Arial" w:hAnsi="Arial" w:cs="Arial"/>
          <w:noProof/>
        </w:rPr>
        <w:t> </w:t>
      </w:r>
      <w:r w:rsidRPr="009864DD">
        <w:rPr>
          <w:rFonts w:ascii="Arial" w:hAnsi="Arial" w:cs="Arial"/>
          <w:noProof/>
        </w:rPr>
        <w:t> </w:t>
      </w:r>
      <w:r w:rsidRPr="009864DD">
        <w:rPr>
          <w:rFonts w:ascii="Arial" w:hAnsi="Arial" w:cs="Arial"/>
          <w:noProof/>
        </w:rPr>
        <w:t> </w:t>
      </w:r>
      <w:r w:rsidRPr="009864DD">
        <w:rPr>
          <w:rFonts w:ascii="Arial" w:hAnsi="Arial" w:cs="Arial"/>
          <w:noProof/>
        </w:rPr>
        <w:t> </w:t>
      </w:r>
      <w:r w:rsidRPr="009864DD">
        <w:rPr>
          <w:rFonts w:ascii="Arial" w:hAnsi="Arial" w:cs="Arial"/>
          <w:noProof/>
        </w:rPr>
        <w:t> </w:t>
      </w:r>
      <w:r w:rsidRPr="009864DD">
        <w:rPr>
          <w:rFonts w:ascii="Arial" w:hAnsi="Arial" w:cs="Arial"/>
        </w:rPr>
        <w:fldChar w:fldCharType="end"/>
      </w:r>
      <w:bookmarkEnd w:id="14"/>
    </w:p>
    <w:p w14:paraId="649D19D2" w14:textId="77777777" w:rsidR="00626A5A" w:rsidRPr="009864DD" w:rsidRDefault="00626A5A" w:rsidP="00626A5A">
      <w:pPr>
        <w:rPr>
          <w:rFonts w:ascii="Arial" w:hAnsi="Arial" w:cs="Arial"/>
        </w:rPr>
      </w:pPr>
    </w:p>
    <w:p w14:paraId="79F476B6" w14:textId="77777777" w:rsidR="00626A5A" w:rsidRPr="009864DD" w:rsidRDefault="00626A5A" w:rsidP="00626A5A">
      <w:pPr>
        <w:rPr>
          <w:rFonts w:ascii="Arial" w:hAnsi="Arial" w:cs="Arial"/>
          <w:b/>
          <w:bCs/>
        </w:rPr>
      </w:pPr>
      <w:r w:rsidRPr="009864DD">
        <w:rPr>
          <w:rFonts w:ascii="Arial" w:hAnsi="Arial" w:cs="Arial"/>
          <w:b/>
          <w:bCs/>
        </w:rPr>
        <w:t>Appropriate Formats</w:t>
      </w:r>
    </w:p>
    <w:p w14:paraId="327B13C3" w14:textId="77777777" w:rsidR="00626A5A" w:rsidRPr="009864DD" w:rsidRDefault="00626A5A" w:rsidP="00626A5A">
      <w:pPr>
        <w:spacing w:after="240" w:line="259" w:lineRule="auto"/>
        <w:rPr>
          <w:rFonts w:ascii="Arial" w:hAnsi="Arial" w:cs="Arial"/>
        </w:rPr>
      </w:pPr>
      <w:r w:rsidRPr="009864DD">
        <w:rPr>
          <w:rFonts w:ascii="Arial" w:hAnsi="Arial" w:cs="Arial"/>
        </w:rPr>
        <w:t>The provider chooses educational formats for activities/inventions that are appropriate for the setting, objectives, and desired results of the activity.</w:t>
      </w:r>
    </w:p>
    <w:p w14:paraId="36B1EC31" w14:textId="297FFE15" w:rsidR="00626A5A" w:rsidRPr="009864DD" w:rsidRDefault="00626A5A" w:rsidP="00626A5A">
      <w:pPr>
        <w:spacing w:after="240" w:line="259" w:lineRule="auto"/>
        <w:rPr>
          <w:rFonts w:ascii="Arial" w:hAnsi="Arial" w:cs="Arial"/>
        </w:rPr>
      </w:pPr>
      <w:r w:rsidRPr="009864DD">
        <w:rPr>
          <w:rFonts w:ascii="Arial" w:hAnsi="Arial" w:cs="Arial"/>
        </w:rPr>
        <w:t xml:space="preserve">Learning Format Selected: </w:t>
      </w:r>
      <w:r w:rsidRPr="00367CD5">
        <w:rPr>
          <w:rFonts w:ascii="Arial" w:hAnsi="Arial" w:cs="Arial"/>
          <w:i/>
          <w:iCs/>
        </w:rPr>
        <w:t>Webinar</w:t>
      </w:r>
    </w:p>
    <w:p w14:paraId="62BEF129" w14:textId="77777777" w:rsidR="00626A5A" w:rsidRPr="009864DD" w:rsidRDefault="00626A5A" w:rsidP="00626A5A">
      <w:pPr>
        <w:spacing w:after="240" w:line="259" w:lineRule="auto"/>
        <w:rPr>
          <w:rFonts w:ascii="Arial" w:hAnsi="Arial" w:cs="Arial"/>
        </w:rPr>
      </w:pPr>
      <w:r w:rsidRPr="009864DD">
        <w:rPr>
          <w:rFonts w:ascii="Arial" w:hAnsi="Arial" w:cs="Arial"/>
        </w:rPr>
        <w:t>Explain why the educational format is appropriate for this activity.</w:t>
      </w:r>
      <w:r w:rsidRPr="009864DD">
        <w:rPr>
          <w:rFonts w:ascii="Arial" w:hAnsi="Arial" w:cs="Arial"/>
        </w:rPr>
        <w:br/>
      </w:r>
      <w:r w:rsidRPr="009864DD">
        <w:rPr>
          <w:rFonts w:ascii="Arial" w:hAnsi="Arial" w:cs="Arial"/>
        </w:rPr>
        <w:fldChar w:fldCharType="begin">
          <w:ffData>
            <w:name w:val="Text20"/>
            <w:enabled/>
            <w:calcOnExit w:val="0"/>
            <w:textInput/>
          </w:ffData>
        </w:fldChar>
      </w:r>
      <w:bookmarkStart w:id="15" w:name="Text20"/>
      <w:r w:rsidRPr="009864DD">
        <w:rPr>
          <w:rFonts w:ascii="Arial" w:hAnsi="Arial" w:cs="Arial"/>
        </w:rPr>
        <w:instrText xml:space="preserve"> FORMTEXT </w:instrText>
      </w:r>
      <w:r w:rsidRPr="009864DD">
        <w:rPr>
          <w:rFonts w:ascii="Arial" w:hAnsi="Arial" w:cs="Arial"/>
        </w:rPr>
      </w:r>
      <w:r w:rsidRPr="009864DD">
        <w:rPr>
          <w:rFonts w:ascii="Arial" w:hAnsi="Arial" w:cs="Arial"/>
        </w:rPr>
        <w:fldChar w:fldCharType="separate"/>
      </w:r>
      <w:r w:rsidRPr="009864DD">
        <w:rPr>
          <w:rFonts w:ascii="Arial" w:hAnsi="Arial" w:cs="Arial"/>
          <w:noProof/>
        </w:rPr>
        <w:t> </w:t>
      </w:r>
      <w:r w:rsidRPr="009864DD">
        <w:rPr>
          <w:rFonts w:ascii="Arial" w:hAnsi="Arial" w:cs="Arial"/>
          <w:noProof/>
        </w:rPr>
        <w:t> </w:t>
      </w:r>
      <w:r w:rsidRPr="009864DD">
        <w:rPr>
          <w:rFonts w:ascii="Arial" w:hAnsi="Arial" w:cs="Arial"/>
          <w:noProof/>
        </w:rPr>
        <w:t> </w:t>
      </w:r>
      <w:r w:rsidRPr="009864DD">
        <w:rPr>
          <w:rFonts w:ascii="Arial" w:hAnsi="Arial" w:cs="Arial"/>
          <w:noProof/>
        </w:rPr>
        <w:t> </w:t>
      </w:r>
      <w:r w:rsidRPr="009864DD">
        <w:rPr>
          <w:rFonts w:ascii="Arial" w:hAnsi="Arial" w:cs="Arial"/>
          <w:noProof/>
        </w:rPr>
        <w:t> </w:t>
      </w:r>
      <w:r w:rsidRPr="009864DD">
        <w:rPr>
          <w:rFonts w:ascii="Arial" w:hAnsi="Arial" w:cs="Arial"/>
        </w:rPr>
        <w:fldChar w:fldCharType="end"/>
      </w:r>
      <w:bookmarkEnd w:id="15"/>
    </w:p>
    <w:p w14:paraId="5236982C" w14:textId="137B2102" w:rsidR="00626A5A" w:rsidRPr="009864DD" w:rsidRDefault="00626A5A" w:rsidP="00626A5A">
      <w:pPr>
        <w:spacing w:after="240" w:line="259" w:lineRule="auto"/>
        <w:rPr>
          <w:rFonts w:ascii="Arial" w:hAnsi="Arial" w:cs="Arial"/>
        </w:rPr>
      </w:pPr>
      <w:r w:rsidRPr="009864DD">
        <w:rPr>
          <w:rFonts w:ascii="Arial" w:hAnsi="Arial" w:cs="Arial"/>
          <w:b/>
          <w:bCs/>
        </w:rPr>
        <w:t xml:space="preserve">Competencies </w:t>
      </w:r>
      <w:r w:rsidRPr="009864DD">
        <w:rPr>
          <w:rFonts w:ascii="Arial" w:hAnsi="Arial" w:cs="Arial"/>
          <w:b/>
          <w:bCs/>
        </w:rPr>
        <w:br/>
      </w:r>
      <w:r w:rsidRPr="009864DD">
        <w:rPr>
          <w:rFonts w:ascii="Arial" w:hAnsi="Arial" w:cs="Arial"/>
        </w:rPr>
        <w:t xml:space="preserve">The provider develops activities/educational interventions in the context of desirable </w:t>
      </w:r>
      <w:r w:rsidR="00724E60">
        <w:rPr>
          <w:rFonts w:ascii="Arial" w:hAnsi="Arial" w:cs="Arial"/>
        </w:rPr>
        <w:t>provider</w:t>
      </w:r>
      <w:r w:rsidRPr="009864DD">
        <w:rPr>
          <w:rFonts w:ascii="Arial" w:hAnsi="Arial" w:cs="Arial"/>
        </w:rPr>
        <w:t xml:space="preserve"> attributes (competencies). </w:t>
      </w:r>
    </w:p>
    <w:p w14:paraId="1378A781" w14:textId="294AFDE8" w:rsidR="00626A5A" w:rsidRPr="009864DD" w:rsidRDefault="00626A5A" w:rsidP="00626A5A">
      <w:pPr>
        <w:rPr>
          <w:rFonts w:ascii="Arial" w:hAnsi="Arial" w:cs="Arial"/>
        </w:rPr>
      </w:pPr>
      <w:r w:rsidRPr="009864DD">
        <w:rPr>
          <w:rFonts w:ascii="Arial" w:hAnsi="Arial" w:cs="Arial"/>
        </w:rPr>
        <w:t xml:space="preserve">Select the desirable </w:t>
      </w:r>
      <w:r w:rsidR="00724E60">
        <w:rPr>
          <w:rFonts w:ascii="Arial" w:hAnsi="Arial" w:cs="Arial"/>
        </w:rPr>
        <w:t>provider</w:t>
      </w:r>
      <w:r w:rsidRPr="009864DD">
        <w:rPr>
          <w:rFonts w:ascii="Arial" w:hAnsi="Arial" w:cs="Arial"/>
        </w:rPr>
        <w:t xml:space="preserve"> attribute(s) this activity addresses.</w:t>
      </w:r>
    </w:p>
    <w:p w14:paraId="16BEB956" w14:textId="77777777" w:rsidR="00626A5A" w:rsidRPr="009864DD" w:rsidRDefault="00626A5A" w:rsidP="00626A5A">
      <w:pPr>
        <w:rPr>
          <w:rFonts w:ascii="Arial" w:hAnsi="Arial" w:cs="Arial"/>
        </w:rPr>
      </w:pPr>
      <w:r w:rsidRPr="009864DD">
        <w:rPr>
          <w:rFonts w:ascii="Arial" w:hAnsi="Arial" w:cs="Arial"/>
        </w:rPr>
        <w:t>Select all that apply:</w:t>
      </w:r>
    </w:p>
    <w:p w14:paraId="2DD8D7EF" w14:textId="77777777" w:rsidR="00626A5A" w:rsidRPr="009864DD" w:rsidRDefault="00626A5A" w:rsidP="00626A5A">
      <w:pPr>
        <w:rPr>
          <w:rFonts w:ascii="Arial" w:hAnsi="Arial" w:cs="Arial"/>
        </w:rPr>
      </w:pPr>
      <w:r w:rsidRPr="009864DD">
        <w:rPr>
          <w:rFonts w:ascii="Arial" w:hAnsi="Arial" w:cs="Arial"/>
        </w:rPr>
        <w:tab/>
      </w:r>
      <w:r w:rsidRPr="009864DD">
        <w:rPr>
          <w:rFonts w:ascii="Arial" w:hAnsi="Arial" w:cs="Arial"/>
        </w:rPr>
        <w:fldChar w:fldCharType="begin">
          <w:ffData>
            <w:name w:val="Check21"/>
            <w:enabled/>
            <w:calcOnExit w:val="0"/>
            <w:checkBox>
              <w:sizeAuto/>
              <w:default w:val="0"/>
            </w:checkBox>
          </w:ffData>
        </w:fldChar>
      </w:r>
      <w:bookmarkStart w:id="16" w:name="Check21"/>
      <w:r w:rsidRPr="009864D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864DD">
        <w:rPr>
          <w:rFonts w:ascii="Arial" w:hAnsi="Arial" w:cs="Arial"/>
        </w:rPr>
        <w:fldChar w:fldCharType="end"/>
      </w:r>
      <w:bookmarkEnd w:id="16"/>
      <w:r w:rsidRPr="009864DD">
        <w:rPr>
          <w:rFonts w:ascii="Arial" w:hAnsi="Arial" w:cs="Arial"/>
        </w:rPr>
        <w:t xml:space="preserve"> Patient care and procedural skills </w:t>
      </w:r>
    </w:p>
    <w:p w14:paraId="72E0AE6F" w14:textId="77777777" w:rsidR="00626A5A" w:rsidRPr="009864DD" w:rsidRDefault="00626A5A" w:rsidP="00626A5A">
      <w:pPr>
        <w:rPr>
          <w:rFonts w:ascii="Arial" w:hAnsi="Arial" w:cs="Arial"/>
        </w:rPr>
      </w:pPr>
      <w:r w:rsidRPr="009864DD">
        <w:rPr>
          <w:rFonts w:ascii="Arial" w:hAnsi="Arial" w:cs="Arial"/>
        </w:rPr>
        <w:tab/>
      </w:r>
      <w:r w:rsidRPr="009864DD">
        <w:rPr>
          <w:rFonts w:ascii="Arial" w:hAnsi="Arial" w:cs="Arial"/>
        </w:rPr>
        <w:fldChar w:fldCharType="begin">
          <w:ffData>
            <w:name w:val="Check22"/>
            <w:enabled/>
            <w:calcOnExit w:val="0"/>
            <w:checkBox>
              <w:sizeAuto/>
              <w:default w:val="0"/>
            </w:checkBox>
          </w:ffData>
        </w:fldChar>
      </w:r>
      <w:bookmarkStart w:id="17" w:name="Check22"/>
      <w:r w:rsidRPr="009864D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864DD">
        <w:rPr>
          <w:rFonts w:ascii="Arial" w:hAnsi="Arial" w:cs="Arial"/>
        </w:rPr>
        <w:fldChar w:fldCharType="end"/>
      </w:r>
      <w:bookmarkEnd w:id="17"/>
      <w:r w:rsidRPr="009864DD">
        <w:rPr>
          <w:rFonts w:ascii="Arial" w:hAnsi="Arial" w:cs="Arial"/>
        </w:rPr>
        <w:t xml:space="preserve"> Medical knowledge </w:t>
      </w:r>
    </w:p>
    <w:p w14:paraId="3090C486" w14:textId="77777777" w:rsidR="00626A5A" w:rsidRPr="009864DD" w:rsidRDefault="00626A5A" w:rsidP="00626A5A">
      <w:pPr>
        <w:rPr>
          <w:rFonts w:ascii="Arial" w:hAnsi="Arial" w:cs="Arial"/>
        </w:rPr>
      </w:pPr>
      <w:r w:rsidRPr="009864DD">
        <w:rPr>
          <w:rFonts w:ascii="Arial" w:hAnsi="Arial" w:cs="Arial"/>
        </w:rPr>
        <w:tab/>
      </w:r>
      <w:r w:rsidRPr="009864DD">
        <w:rPr>
          <w:rFonts w:ascii="Arial" w:hAnsi="Arial" w:cs="Arial"/>
        </w:rPr>
        <w:fldChar w:fldCharType="begin">
          <w:ffData>
            <w:name w:val="Check23"/>
            <w:enabled/>
            <w:calcOnExit w:val="0"/>
            <w:checkBox>
              <w:sizeAuto/>
              <w:default w:val="0"/>
            </w:checkBox>
          </w:ffData>
        </w:fldChar>
      </w:r>
      <w:bookmarkStart w:id="18" w:name="Check23"/>
      <w:r w:rsidRPr="009864D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864DD">
        <w:rPr>
          <w:rFonts w:ascii="Arial" w:hAnsi="Arial" w:cs="Arial"/>
        </w:rPr>
        <w:fldChar w:fldCharType="end"/>
      </w:r>
      <w:bookmarkEnd w:id="18"/>
      <w:r w:rsidRPr="009864DD">
        <w:rPr>
          <w:rFonts w:ascii="Arial" w:hAnsi="Arial" w:cs="Arial"/>
        </w:rPr>
        <w:t xml:space="preserve"> Quality improvement </w:t>
      </w:r>
    </w:p>
    <w:p w14:paraId="3CD0073F" w14:textId="77777777" w:rsidR="00626A5A" w:rsidRPr="009864DD" w:rsidRDefault="00626A5A" w:rsidP="00626A5A">
      <w:pPr>
        <w:rPr>
          <w:rFonts w:ascii="Arial" w:hAnsi="Arial" w:cs="Arial"/>
        </w:rPr>
      </w:pPr>
      <w:r w:rsidRPr="009864DD">
        <w:rPr>
          <w:rFonts w:ascii="Arial" w:hAnsi="Arial" w:cs="Arial"/>
        </w:rPr>
        <w:tab/>
      </w:r>
      <w:r w:rsidRPr="009864DD">
        <w:rPr>
          <w:rFonts w:ascii="Arial" w:hAnsi="Arial" w:cs="Arial"/>
        </w:rPr>
        <w:fldChar w:fldCharType="begin">
          <w:ffData>
            <w:name w:val="Check24"/>
            <w:enabled/>
            <w:calcOnExit w:val="0"/>
            <w:checkBox>
              <w:sizeAuto/>
              <w:default w:val="0"/>
            </w:checkBox>
          </w:ffData>
        </w:fldChar>
      </w:r>
      <w:bookmarkStart w:id="19" w:name="Check24"/>
      <w:r w:rsidRPr="009864D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864DD">
        <w:rPr>
          <w:rFonts w:ascii="Arial" w:hAnsi="Arial" w:cs="Arial"/>
        </w:rPr>
        <w:fldChar w:fldCharType="end"/>
      </w:r>
      <w:bookmarkEnd w:id="19"/>
      <w:r w:rsidRPr="009864DD">
        <w:rPr>
          <w:rFonts w:ascii="Arial" w:hAnsi="Arial" w:cs="Arial"/>
        </w:rPr>
        <w:t xml:space="preserve"> Practice-based learning and improvement </w:t>
      </w:r>
    </w:p>
    <w:p w14:paraId="13B2C911" w14:textId="77777777" w:rsidR="00626A5A" w:rsidRPr="009864DD" w:rsidRDefault="00626A5A" w:rsidP="00626A5A">
      <w:pPr>
        <w:rPr>
          <w:rFonts w:ascii="Arial" w:hAnsi="Arial" w:cs="Arial"/>
        </w:rPr>
      </w:pPr>
      <w:r w:rsidRPr="009864DD">
        <w:rPr>
          <w:rFonts w:ascii="Arial" w:hAnsi="Arial" w:cs="Arial"/>
        </w:rPr>
        <w:tab/>
      </w:r>
      <w:r w:rsidRPr="009864DD">
        <w:rPr>
          <w:rFonts w:ascii="Arial" w:hAnsi="Arial" w:cs="Arial"/>
        </w:rPr>
        <w:fldChar w:fldCharType="begin">
          <w:ffData>
            <w:name w:val="Check25"/>
            <w:enabled/>
            <w:calcOnExit w:val="0"/>
            <w:checkBox>
              <w:sizeAuto/>
              <w:default w:val="0"/>
            </w:checkBox>
          </w:ffData>
        </w:fldChar>
      </w:r>
      <w:bookmarkStart w:id="20" w:name="Check25"/>
      <w:r w:rsidRPr="009864D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864DD">
        <w:rPr>
          <w:rFonts w:ascii="Arial" w:hAnsi="Arial" w:cs="Arial"/>
        </w:rPr>
        <w:fldChar w:fldCharType="end"/>
      </w:r>
      <w:bookmarkEnd w:id="20"/>
      <w:r w:rsidRPr="009864DD">
        <w:rPr>
          <w:rFonts w:ascii="Arial" w:hAnsi="Arial" w:cs="Arial"/>
        </w:rPr>
        <w:t xml:space="preserve"> Interpersonal and communication skills </w:t>
      </w:r>
    </w:p>
    <w:p w14:paraId="4CD84819" w14:textId="77777777" w:rsidR="00626A5A" w:rsidRPr="009864DD" w:rsidRDefault="00626A5A" w:rsidP="00626A5A">
      <w:pPr>
        <w:rPr>
          <w:rFonts w:ascii="Arial" w:hAnsi="Arial" w:cs="Arial"/>
        </w:rPr>
      </w:pPr>
      <w:r w:rsidRPr="009864DD">
        <w:rPr>
          <w:rFonts w:ascii="Arial" w:hAnsi="Arial" w:cs="Arial"/>
        </w:rPr>
        <w:tab/>
      </w:r>
      <w:r w:rsidRPr="009864DD">
        <w:rPr>
          <w:rFonts w:ascii="Arial" w:hAnsi="Arial" w:cs="Arial"/>
        </w:rPr>
        <w:fldChar w:fldCharType="begin">
          <w:ffData>
            <w:name w:val="Check26"/>
            <w:enabled/>
            <w:calcOnExit w:val="0"/>
            <w:checkBox>
              <w:sizeAuto/>
              <w:default w:val="0"/>
            </w:checkBox>
          </w:ffData>
        </w:fldChar>
      </w:r>
      <w:bookmarkStart w:id="21" w:name="Check26"/>
      <w:r w:rsidRPr="009864D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864DD">
        <w:rPr>
          <w:rFonts w:ascii="Arial" w:hAnsi="Arial" w:cs="Arial"/>
        </w:rPr>
        <w:fldChar w:fldCharType="end"/>
      </w:r>
      <w:bookmarkEnd w:id="21"/>
      <w:r w:rsidRPr="009864DD">
        <w:rPr>
          <w:rFonts w:ascii="Arial" w:hAnsi="Arial" w:cs="Arial"/>
        </w:rPr>
        <w:t xml:space="preserve"> Professionalism </w:t>
      </w:r>
    </w:p>
    <w:p w14:paraId="2052C665" w14:textId="77777777" w:rsidR="00626A5A" w:rsidRPr="009864DD" w:rsidRDefault="00626A5A" w:rsidP="00626A5A">
      <w:pPr>
        <w:rPr>
          <w:rFonts w:ascii="Arial" w:hAnsi="Arial" w:cs="Arial"/>
        </w:rPr>
      </w:pPr>
      <w:r w:rsidRPr="009864DD">
        <w:rPr>
          <w:rFonts w:ascii="Arial" w:hAnsi="Arial" w:cs="Arial"/>
        </w:rPr>
        <w:tab/>
      </w:r>
      <w:r w:rsidRPr="009864DD">
        <w:rPr>
          <w:rFonts w:ascii="Arial" w:hAnsi="Arial" w:cs="Arial"/>
        </w:rPr>
        <w:fldChar w:fldCharType="begin">
          <w:ffData>
            <w:name w:val="Check27"/>
            <w:enabled/>
            <w:calcOnExit w:val="0"/>
            <w:checkBox>
              <w:sizeAuto/>
              <w:default w:val="0"/>
            </w:checkBox>
          </w:ffData>
        </w:fldChar>
      </w:r>
      <w:bookmarkStart w:id="22" w:name="Check27"/>
      <w:r w:rsidRPr="009864D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864DD">
        <w:rPr>
          <w:rFonts w:ascii="Arial" w:hAnsi="Arial" w:cs="Arial"/>
        </w:rPr>
        <w:fldChar w:fldCharType="end"/>
      </w:r>
      <w:bookmarkEnd w:id="22"/>
      <w:r w:rsidRPr="009864DD">
        <w:rPr>
          <w:rFonts w:ascii="Arial" w:hAnsi="Arial" w:cs="Arial"/>
        </w:rPr>
        <w:t xml:space="preserve"> Systems-based practice </w:t>
      </w:r>
    </w:p>
    <w:p w14:paraId="2291C5F8" w14:textId="77777777" w:rsidR="00626A5A" w:rsidRPr="009864DD" w:rsidRDefault="00626A5A" w:rsidP="00626A5A">
      <w:pPr>
        <w:rPr>
          <w:rFonts w:ascii="Arial" w:hAnsi="Arial" w:cs="Arial"/>
        </w:rPr>
      </w:pPr>
      <w:r w:rsidRPr="009864DD">
        <w:rPr>
          <w:rFonts w:ascii="Arial" w:hAnsi="Arial" w:cs="Arial"/>
        </w:rPr>
        <w:tab/>
      </w:r>
      <w:r w:rsidRPr="009864DD">
        <w:rPr>
          <w:rFonts w:ascii="Arial" w:hAnsi="Arial" w:cs="Arial"/>
        </w:rPr>
        <w:fldChar w:fldCharType="begin">
          <w:ffData>
            <w:name w:val="Check28"/>
            <w:enabled/>
            <w:calcOnExit w:val="0"/>
            <w:checkBox>
              <w:sizeAuto/>
              <w:default w:val="0"/>
            </w:checkBox>
          </w:ffData>
        </w:fldChar>
      </w:r>
      <w:bookmarkStart w:id="23" w:name="Check28"/>
      <w:r w:rsidRPr="009864D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864DD">
        <w:rPr>
          <w:rFonts w:ascii="Arial" w:hAnsi="Arial" w:cs="Arial"/>
        </w:rPr>
        <w:fldChar w:fldCharType="end"/>
      </w:r>
      <w:bookmarkEnd w:id="23"/>
      <w:r w:rsidRPr="009864DD">
        <w:rPr>
          <w:rFonts w:ascii="Arial" w:hAnsi="Arial" w:cs="Arial"/>
        </w:rPr>
        <w:t xml:space="preserve"> Provide patient-centered care</w:t>
      </w:r>
    </w:p>
    <w:p w14:paraId="4D647430" w14:textId="77777777" w:rsidR="00626A5A" w:rsidRPr="009864DD" w:rsidRDefault="00626A5A" w:rsidP="00626A5A">
      <w:pPr>
        <w:rPr>
          <w:rFonts w:ascii="Arial" w:hAnsi="Arial" w:cs="Arial"/>
        </w:rPr>
      </w:pPr>
      <w:r w:rsidRPr="009864DD">
        <w:rPr>
          <w:rFonts w:ascii="Arial" w:hAnsi="Arial" w:cs="Arial"/>
        </w:rPr>
        <w:tab/>
      </w:r>
      <w:r w:rsidRPr="009864DD">
        <w:rPr>
          <w:rFonts w:ascii="Arial" w:hAnsi="Arial" w:cs="Arial"/>
        </w:rPr>
        <w:fldChar w:fldCharType="begin">
          <w:ffData>
            <w:name w:val="Check29"/>
            <w:enabled/>
            <w:calcOnExit w:val="0"/>
            <w:checkBox>
              <w:sizeAuto/>
              <w:default w:val="0"/>
            </w:checkBox>
          </w:ffData>
        </w:fldChar>
      </w:r>
      <w:bookmarkStart w:id="24" w:name="Check29"/>
      <w:r w:rsidRPr="009864D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864DD">
        <w:rPr>
          <w:rFonts w:ascii="Arial" w:hAnsi="Arial" w:cs="Arial"/>
        </w:rPr>
        <w:fldChar w:fldCharType="end"/>
      </w:r>
      <w:bookmarkEnd w:id="24"/>
      <w:r w:rsidRPr="009864DD">
        <w:rPr>
          <w:rFonts w:ascii="Arial" w:hAnsi="Arial" w:cs="Arial"/>
        </w:rPr>
        <w:t xml:space="preserve"> Work in interdisciplinary teams</w:t>
      </w:r>
    </w:p>
    <w:p w14:paraId="21CA3F03" w14:textId="77777777" w:rsidR="00626A5A" w:rsidRPr="009864DD" w:rsidRDefault="00626A5A" w:rsidP="00626A5A">
      <w:pPr>
        <w:rPr>
          <w:rFonts w:ascii="Arial" w:hAnsi="Arial" w:cs="Arial"/>
        </w:rPr>
      </w:pPr>
      <w:r w:rsidRPr="009864DD">
        <w:rPr>
          <w:rFonts w:ascii="Arial" w:hAnsi="Arial" w:cs="Arial"/>
        </w:rPr>
        <w:tab/>
      </w:r>
      <w:r w:rsidRPr="009864DD">
        <w:rPr>
          <w:rFonts w:ascii="Arial" w:hAnsi="Arial" w:cs="Arial"/>
        </w:rPr>
        <w:fldChar w:fldCharType="begin">
          <w:ffData>
            <w:name w:val="Check30"/>
            <w:enabled/>
            <w:calcOnExit w:val="0"/>
            <w:checkBox>
              <w:sizeAuto/>
              <w:default w:val="0"/>
            </w:checkBox>
          </w:ffData>
        </w:fldChar>
      </w:r>
      <w:bookmarkStart w:id="25" w:name="Check30"/>
      <w:r w:rsidRPr="009864D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864DD">
        <w:rPr>
          <w:rFonts w:ascii="Arial" w:hAnsi="Arial" w:cs="Arial"/>
        </w:rPr>
        <w:fldChar w:fldCharType="end"/>
      </w:r>
      <w:bookmarkEnd w:id="25"/>
      <w:r w:rsidRPr="009864DD">
        <w:rPr>
          <w:rFonts w:ascii="Arial" w:hAnsi="Arial" w:cs="Arial"/>
        </w:rPr>
        <w:t xml:space="preserve"> Employ evidence-based practice </w:t>
      </w:r>
    </w:p>
    <w:p w14:paraId="66E02D4E" w14:textId="77777777" w:rsidR="00626A5A" w:rsidRPr="009864DD" w:rsidRDefault="00626A5A" w:rsidP="00626A5A">
      <w:pPr>
        <w:rPr>
          <w:rFonts w:ascii="Arial" w:hAnsi="Arial" w:cs="Arial"/>
        </w:rPr>
      </w:pPr>
      <w:r w:rsidRPr="009864DD">
        <w:rPr>
          <w:rFonts w:ascii="Arial" w:hAnsi="Arial" w:cs="Arial"/>
        </w:rPr>
        <w:tab/>
      </w:r>
      <w:r w:rsidRPr="009864DD">
        <w:rPr>
          <w:rFonts w:ascii="Arial" w:hAnsi="Arial" w:cs="Arial"/>
        </w:rPr>
        <w:fldChar w:fldCharType="begin">
          <w:ffData>
            <w:name w:val="Check31"/>
            <w:enabled/>
            <w:calcOnExit w:val="0"/>
            <w:checkBox>
              <w:sizeAuto/>
              <w:default w:val="0"/>
            </w:checkBox>
          </w:ffData>
        </w:fldChar>
      </w:r>
      <w:bookmarkStart w:id="26" w:name="Check31"/>
      <w:r w:rsidRPr="009864D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864DD">
        <w:rPr>
          <w:rFonts w:ascii="Arial" w:hAnsi="Arial" w:cs="Arial"/>
        </w:rPr>
        <w:fldChar w:fldCharType="end"/>
      </w:r>
      <w:bookmarkEnd w:id="26"/>
      <w:r w:rsidRPr="009864DD">
        <w:rPr>
          <w:rFonts w:ascii="Arial" w:hAnsi="Arial" w:cs="Arial"/>
        </w:rPr>
        <w:t xml:space="preserve"> Utilize informatics </w:t>
      </w:r>
    </w:p>
    <w:p w14:paraId="4136F3A9" w14:textId="77777777" w:rsidR="00626A5A" w:rsidRPr="009864DD" w:rsidRDefault="00626A5A" w:rsidP="00626A5A">
      <w:pPr>
        <w:rPr>
          <w:rFonts w:ascii="Arial" w:hAnsi="Arial" w:cs="Arial"/>
        </w:rPr>
      </w:pPr>
      <w:r w:rsidRPr="009864DD">
        <w:rPr>
          <w:rFonts w:ascii="Arial" w:hAnsi="Arial" w:cs="Arial"/>
        </w:rPr>
        <w:tab/>
      </w:r>
      <w:r w:rsidRPr="009864DD">
        <w:rPr>
          <w:rFonts w:ascii="Arial" w:hAnsi="Arial" w:cs="Arial"/>
        </w:rPr>
        <w:fldChar w:fldCharType="begin">
          <w:ffData>
            <w:name w:val="Check32"/>
            <w:enabled/>
            <w:calcOnExit w:val="0"/>
            <w:checkBox>
              <w:sizeAuto/>
              <w:default w:val="0"/>
            </w:checkBox>
          </w:ffData>
        </w:fldChar>
      </w:r>
      <w:bookmarkStart w:id="27" w:name="Check32"/>
      <w:r w:rsidRPr="009864D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864DD">
        <w:rPr>
          <w:rFonts w:ascii="Arial" w:hAnsi="Arial" w:cs="Arial"/>
        </w:rPr>
        <w:fldChar w:fldCharType="end"/>
      </w:r>
      <w:bookmarkEnd w:id="27"/>
      <w:r w:rsidRPr="009864DD">
        <w:rPr>
          <w:rFonts w:ascii="Arial" w:hAnsi="Arial" w:cs="Arial"/>
        </w:rPr>
        <w:t xml:space="preserve"> Values/ethics for interprofessional practice </w:t>
      </w:r>
    </w:p>
    <w:p w14:paraId="742E6A91" w14:textId="77777777" w:rsidR="00626A5A" w:rsidRPr="009864DD" w:rsidRDefault="00626A5A" w:rsidP="00626A5A">
      <w:pPr>
        <w:rPr>
          <w:rFonts w:ascii="Arial" w:hAnsi="Arial" w:cs="Arial"/>
        </w:rPr>
      </w:pPr>
      <w:r w:rsidRPr="009864DD">
        <w:rPr>
          <w:rFonts w:ascii="Arial" w:hAnsi="Arial" w:cs="Arial"/>
        </w:rPr>
        <w:tab/>
      </w:r>
      <w:r w:rsidRPr="009864DD">
        <w:rPr>
          <w:rFonts w:ascii="Arial" w:hAnsi="Arial" w:cs="Arial"/>
        </w:rPr>
        <w:fldChar w:fldCharType="begin">
          <w:ffData>
            <w:name w:val="Check33"/>
            <w:enabled/>
            <w:calcOnExit w:val="0"/>
            <w:checkBox>
              <w:sizeAuto/>
              <w:default w:val="0"/>
            </w:checkBox>
          </w:ffData>
        </w:fldChar>
      </w:r>
      <w:bookmarkStart w:id="28" w:name="Check33"/>
      <w:r w:rsidRPr="009864D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864DD">
        <w:rPr>
          <w:rFonts w:ascii="Arial" w:hAnsi="Arial" w:cs="Arial"/>
        </w:rPr>
        <w:fldChar w:fldCharType="end"/>
      </w:r>
      <w:bookmarkEnd w:id="28"/>
      <w:r w:rsidRPr="009864DD">
        <w:rPr>
          <w:rFonts w:ascii="Arial" w:hAnsi="Arial" w:cs="Arial"/>
        </w:rPr>
        <w:t xml:space="preserve"> Roles/responsibilities </w:t>
      </w:r>
    </w:p>
    <w:p w14:paraId="33BB2427" w14:textId="77777777" w:rsidR="00626A5A" w:rsidRPr="009864DD" w:rsidRDefault="00626A5A" w:rsidP="00626A5A">
      <w:pPr>
        <w:rPr>
          <w:rFonts w:ascii="Arial" w:hAnsi="Arial" w:cs="Arial"/>
        </w:rPr>
      </w:pPr>
      <w:r w:rsidRPr="009864DD">
        <w:rPr>
          <w:rFonts w:ascii="Arial" w:hAnsi="Arial" w:cs="Arial"/>
        </w:rPr>
        <w:tab/>
      </w:r>
      <w:r w:rsidRPr="009864DD">
        <w:rPr>
          <w:rFonts w:ascii="Arial" w:hAnsi="Arial" w:cs="Arial"/>
        </w:rPr>
        <w:fldChar w:fldCharType="begin">
          <w:ffData>
            <w:name w:val="Check34"/>
            <w:enabled/>
            <w:calcOnExit w:val="0"/>
            <w:checkBox>
              <w:sizeAuto/>
              <w:default w:val="0"/>
            </w:checkBox>
          </w:ffData>
        </w:fldChar>
      </w:r>
      <w:bookmarkStart w:id="29" w:name="Check34"/>
      <w:r w:rsidRPr="009864D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864DD">
        <w:rPr>
          <w:rFonts w:ascii="Arial" w:hAnsi="Arial" w:cs="Arial"/>
        </w:rPr>
        <w:fldChar w:fldCharType="end"/>
      </w:r>
      <w:bookmarkEnd w:id="29"/>
      <w:r w:rsidRPr="009864DD">
        <w:rPr>
          <w:rFonts w:ascii="Arial" w:hAnsi="Arial" w:cs="Arial"/>
        </w:rPr>
        <w:t xml:space="preserve"> Interprofessional communication </w:t>
      </w:r>
    </w:p>
    <w:p w14:paraId="2D66C02A" w14:textId="77777777" w:rsidR="00626A5A" w:rsidRPr="009864DD" w:rsidRDefault="00626A5A" w:rsidP="00626A5A">
      <w:pPr>
        <w:rPr>
          <w:rFonts w:ascii="Arial" w:hAnsi="Arial" w:cs="Arial"/>
        </w:rPr>
      </w:pPr>
      <w:r w:rsidRPr="009864DD">
        <w:rPr>
          <w:rFonts w:ascii="Arial" w:hAnsi="Arial" w:cs="Arial"/>
        </w:rPr>
        <w:tab/>
      </w:r>
      <w:r w:rsidRPr="009864DD">
        <w:rPr>
          <w:rFonts w:ascii="Arial" w:hAnsi="Arial" w:cs="Arial"/>
        </w:rPr>
        <w:fldChar w:fldCharType="begin">
          <w:ffData>
            <w:name w:val="Check35"/>
            <w:enabled/>
            <w:calcOnExit w:val="0"/>
            <w:checkBox>
              <w:sizeAuto/>
              <w:default w:val="0"/>
            </w:checkBox>
          </w:ffData>
        </w:fldChar>
      </w:r>
      <w:bookmarkStart w:id="30" w:name="Check35"/>
      <w:r w:rsidRPr="009864D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864DD">
        <w:rPr>
          <w:rFonts w:ascii="Arial" w:hAnsi="Arial" w:cs="Arial"/>
        </w:rPr>
        <w:fldChar w:fldCharType="end"/>
      </w:r>
      <w:bookmarkEnd w:id="30"/>
      <w:r w:rsidRPr="009864DD">
        <w:rPr>
          <w:rFonts w:ascii="Arial" w:hAnsi="Arial" w:cs="Arial"/>
        </w:rPr>
        <w:t xml:space="preserve"> Teams and teamwork </w:t>
      </w:r>
    </w:p>
    <w:p w14:paraId="59E6D67C" w14:textId="77777777" w:rsidR="00626A5A" w:rsidRPr="009864DD" w:rsidRDefault="00626A5A" w:rsidP="00626A5A">
      <w:pPr>
        <w:rPr>
          <w:rFonts w:ascii="Arial" w:hAnsi="Arial" w:cs="Arial"/>
        </w:rPr>
      </w:pPr>
      <w:r w:rsidRPr="009864DD">
        <w:rPr>
          <w:rFonts w:ascii="Arial" w:hAnsi="Arial" w:cs="Arial"/>
        </w:rPr>
        <w:lastRenderedPageBreak/>
        <w:tab/>
      </w:r>
    </w:p>
    <w:p w14:paraId="07BF3AFA" w14:textId="77777777" w:rsidR="00626A5A" w:rsidRPr="009864DD" w:rsidRDefault="00626A5A" w:rsidP="00626A5A">
      <w:pPr>
        <w:rPr>
          <w:rFonts w:ascii="Arial" w:hAnsi="Arial" w:cs="Arial"/>
        </w:rPr>
      </w:pPr>
      <w:r w:rsidRPr="009864DD">
        <w:rPr>
          <w:rFonts w:ascii="Arial" w:hAnsi="Arial" w:cs="Arial"/>
        </w:rPr>
        <w:t>Please list other competencies, if applicable:</w:t>
      </w:r>
    </w:p>
    <w:p w14:paraId="4E4639D3" w14:textId="77777777" w:rsidR="00626A5A" w:rsidRPr="009864DD" w:rsidRDefault="00626A5A" w:rsidP="00626A5A">
      <w:pPr>
        <w:rPr>
          <w:rFonts w:ascii="Arial" w:hAnsi="Arial" w:cs="Arial"/>
        </w:rPr>
      </w:pPr>
      <w:r w:rsidRPr="009864DD">
        <w:rPr>
          <w:rFonts w:ascii="Arial" w:hAnsi="Arial" w:cs="Arial"/>
        </w:rPr>
        <w:fldChar w:fldCharType="begin">
          <w:ffData>
            <w:name w:val="Text21"/>
            <w:enabled/>
            <w:calcOnExit w:val="0"/>
            <w:textInput/>
          </w:ffData>
        </w:fldChar>
      </w:r>
      <w:bookmarkStart w:id="31" w:name="Text21"/>
      <w:r w:rsidRPr="009864DD">
        <w:rPr>
          <w:rFonts w:ascii="Arial" w:hAnsi="Arial" w:cs="Arial"/>
        </w:rPr>
        <w:instrText xml:space="preserve"> FORMTEXT </w:instrText>
      </w:r>
      <w:r w:rsidRPr="009864DD">
        <w:rPr>
          <w:rFonts w:ascii="Arial" w:hAnsi="Arial" w:cs="Arial"/>
        </w:rPr>
      </w:r>
      <w:r w:rsidRPr="009864DD">
        <w:rPr>
          <w:rFonts w:ascii="Arial" w:hAnsi="Arial" w:cs="Arial"/>
        </w:rPr>
        <w:fldChar w:fldCharType="separate"/>
      </w:r>
      <w:r w:rsidRPr="009864DD">
        <w:rPr>
          <w:rFonts w:ascii="Arial" w:hAnsi="Arial" w:cs="Arial"/>
          <w:noProof/>
        </w:rPr>
        <w:t> </w:t>
      </w:r>
      <w:r w:rsidRPr="009864DD">
        <w:rPr>
          <w:rFonts w:ascii="Arial" w:hAnsi="Arial" w:cs="Arial"/>
          <w:noProof/>
        </w:rPr>
        <w:t> </w:t>
      </w:r>
      <w:r w:rsidRPr="009864DD">
        <w:rPr>
          <w:rFonts w:ascii="Arial" w:hAnsi="Arial" w:cs="Arial"/>
          <w:noProof/>
        </w:rPr>
        <w:t> </w:t>
      </w:r>
      <w:r w:rsidRPr="009864DD">
        <w:rPr>
          <w:rFonts w:ascii="Arial" w:hAnsi="Arial" w:cs="Arial"/>
          <w:noProof/>
        </w:rPr>
        <w:t> </w:t>
      </w:r>
      <w:r w:rsidRPr="009864DD">
        <w:rPr>
          <w:rFonts w:ascii="Arial" w:hAnsi="Arial" w:cs="Arial"/>
          <w:noProof/>
        </w:rPr>
        <w:t> </w:t>
      </w:r>
      <w:r w:rsidRPr="009864DD">
        <w:rPr>
          <w:rFonts w:ascii="Arial" w:hAnsi="Arial" w:cs="Arial"/>
        </w:rPr>
        <w:fldChar w:fldCharType="end"/>
      </w:r>
      <w:bookmarkEnd w:id="31"/>
    </w:p>
    <w:p w14:paraId="616D882D" w14:textId="77777777" w:rsidR="00626A5A" w:rsidRDefault="00626A5A" w:rsidP="00626A5A"/>
    <w:sectPr w:rsidR="00626A5A" w:rsidSect="00626A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F0542"/>
    <w:multiLevelType w:val="hybridMultilevel"/>
    <w:tmpl w:val="EA184CD4"/>
    <w:lvl w:ilvl="0" w:tplc="37345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FD68EE"/>
    <w:multiLevelType w:val="hybridMultilevel"/>
    <w:tmpl w:val="C478E216"/>
    <w:lvl w:ilvl="0" w:tplc="8C729CE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80B76"/>
    <w:multiLevelType w:val="hybridMultilevel"/>
    <w:tmpl w:val="7E200F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5846909">
    <w:abstractNumId w:val="0"/>
  </w:num>
  <w:num w:numId="2" w16cid:durableId="363749094">
    <w:abstractNumId w:val="1"/>
  </w:num>
  <w:num w:numId="3" w16cid:durableId="82650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A5A"/>
    <w:rsid w:val="00265744"/>
    <w:rsid w:val="002E3536"/>
    <w:rsid w:val="00367CD5"/>
    <w:rsid w:val="003A2386"/>
    <w:rsid w:val="00462D5A"/>
    <w:rsid w:val="00567846"/>
    <w:rsid w:val="00626A5A"/>
    <w:rsid w:val="00724E60"/>
    <w:rsid w:val="00926518"/>
    <w:rsid w:val="00A327A9"/>
    <w:rsid w:val="00B80E4B"/>
    <w:rsid w:val="00C75A21"/>
    <w:rsid w:val="00CA55C5"/>
    <w:rsid w:val="00CE3D15"/>
    <w:rsid w:val="00D33291"/>
    <w:rsid w:val="00DD6E69"/>
    <w:rsid w:val="00E5450C"/>
    <w:rsid w:val="00F93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C931C"/>
  <w15:chartTrackingRefBased/>
  <w15:docId w15:val="{6CEF9702-ED63-174C-9594-BE680E1F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A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6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6A5A"/>
    <w:pPr>
      <w:spacing w:after="7" w:line="249" w:lineRule="auto"/>
      <w:ind w:left="720" w:right="87" w:hanging="10"/>
      <w:contextualSpacing/>
    </w:pPr>
    <w:rPr>
      <w:rFonts w:ascii="Arial" w:eastAsia="Arial" w:hAnsi="Arial" w:cs="Arial"/>
      <w:color w:val="000000"/>
      <w:lang w:bidi="en-US"/>
    </w:rPr>
  </w:style>
  <w:style w:type="paragraph" w:styleId="Revision">
    <w:name w:val="Revision"/>
    <w:hidden/>
    <w:uiPriority w:val="99"/>
    <w:semiHidden/>
    <w:rsid w:val="00926518"/>
  </w:style>
  <w:style w:type="character" w:styleId="Hyperlink">
    <w:name w:val="Hyperlink"/>
    <w:basedOn w:val="DefaultParagraphFont"/>
    <w:uiPriority w:val="99"/>
    <w:unhideWhenUsed/>
    <w:rsid w:val="00CE3D15"/>
    <w:rPr>
      <w:color w:val="0563C1" w:themeColor="hyperlink"/>
      <w:u w:val="single"/>
    </w:rPr>
  </w:style>
  <w:style w:type="character" w:styleId="UnresolvedMention">
    <w:name w:val="Unresolved Mention"/>
    <w:basedOn w:val="DefaultParagraphFont"/>
    <w:uiPriority w:val="99"/>
    <w:semiHidden/>
    <w:unhideWhenUsed/>
    <w:rsid w:val="00CE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54691">
      <w:bodyDiv w:val="1"/>
      <w:marLeft w:val="0"/>
      <w:marRight w:val="0"/>
      <w:marTop w:val="0"/>
      <w:marBottom w:val="0"/>
      <w:divBdr>
        <w:top w:val="none" w:sz="0" w:space="0" w:color="auto"/>
        <w:left w:val="none" w:sz="0" w:space="0" w:color="auto"/>
        <w:bottom w:val="none" w:sz="0" w:space="0" w:color="auto"/>
        <w:right w:val="none" w:sz="0" w:space="0" w:color="auto"/>
      </w:divBdr>
      <w:divsChild>
        <w:div w:id="260261141">
          <w:marLeft w:val="0"/>
          <w:marRight w:val="0"/>
          <w:marTop w:val="0"/>
          <w:marBottom w:val="0"/>
          <w:divBdr>
            <w:top w:val="none" w:sz="0" w:space="0" w:color="auto"/>
            <w:left w:val="none" w:sz="0" w:space="0" w:color="auto"/>
            <w:bottom w:val="none" w:sz="0" w:space="0" w:color="auto"/>
            <w:right w:val="none" w:sz="0" w:space="0" w:color="auto"/>
          </w:divBdr>
        </w:div>
        <w:div w:id="1444225247">
          <w:marLeft w:val="0"/>
          <w:marRight w:val="0"/>
          <w:marTop w:val="0"/>
          <w:marBottom w:val="0"/>
          <w:divBdr>
            <w:top w:val="none" w:sz="0" w:space="0" w:color="auto"/>
            <w:left w:val="none" w:sz="0" w:space="0" w:color="auto"/>
            <w:bottom w:val="none" w:sz="0" w:space="0" w:color="auto"/>
            <w:right w:val="none" w:sz="0" w:space="0" w:color="auto"/>
          </w:divBdr>
        </w:div>
      </w:divsChild>
    </w:div>
    <w:div w:id="1223055372">
      <w:bodyDiv w:val="1"/>
      <w:marLeft w:val="0"/>
      <w:marRight w:val="0"/>
      <w:marTop w:val="0"/>
      <w:marBottom w:val="0"/>
      <w:divBdr>
        <w:top w:val="none" w:sz="0" w:space="0" w:color="auto"/>
        <w:left w:val="none" w:sz="0" w:space="0" w:color="auto"/>
        <w:bottom w:val="none" w:sz="0" w:space="0" w:color="auto"/>
        <w:right w:val="none" w:sz="0" w:space="0" w:color="auto"/>
      </w:divBdr>
      <w:divsChild>
        <w:div w:id="1863128675">
          <w:marLeft w:val="0"/>
          <w:marRight w:val="0"/>
          <w:marTop w:val="0"/>
          <w:marBottom w:val="0"/>
          <w:divBdr>
            <w:top w:val="none" w:sz="0" w:space="0" w:color="auto"/>
            <w:left w:val="none" w:sz="0" w:space="0" w:color="auto"/>
            <w:bottom w:val="none" w:sz="0" w:space="0" w:color="auto"/>
            <w:right w:val="none" w:sz="0" w:space="0" w:color="auto"/>
          </w:divBdr>
        </w:div>
        <w:div w:id="1886016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me.org/faq/standard-32-what-are-some-examples-content-or-not-related-business-lines-ineligible-company" TargetMode="External"/><Relationship Id="rId3" Type="http://schemas.openxmlformats.org/officeDocument/2006/relationships/settings" Target="settings.xml"/><Relationship Id="rId7" Type="http://schemas.openxmlformats.org/officeDocument/2006/relationships/hyperlink" Target="https://www.accme.org/accreditation-rules/standards-for-integrity-independence-accredited-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EcaAMFFxWHGJqvg38" TargetMode="External"/><Relationship Id="rId11" Type="http://schemas.openxmlformats.org/officeDocument/2006/relationships/theme" Target="theme/theme1.xml"/><Relationship Id="rId5" Type="http://schemas.openxmlformats.org/officeDocument/2006/relationships/hyperlink" Target="mailto:jennifer@asmbs.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smbs.org/financial-relationship-disclosu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Wynn</dc:creator>
  <cp:keywords/>
  <dc:description/>
  <cp:lastModifiedBy>Jennifer Wynn</cp:lastModifiedBy>
  <cp:revision>3</cp:revision>
  <dcterms:created xsi:type="dcterms:W3CDTF">2023-07-18T14:55:00Z</dcterms:created>
  <dcterms:modified xsi:type="dcterms:W3CDTF">2023-07-18T14:55:00Z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-1945468700</vt:i4>
  </property>
  <property fmtid="{D5CDD505-2E9C-101B-9397-08002B2CF9AE}" pid="3" name="_NewReviewCycle">
    <vt:lpwstr/>
  </property>
  <property fmtid="{D5CDD505-2E9C-101B-9397-08002B2CF9AE}" pid="4" name="_EmailSubject">
    <vt:lpwstr>Revised IH Webinar Proposal Form</vt:lpwstr>
  </property>
  <property fmtid="{D5CDD505-2E9C-101B-9397-08002B2CF9AE}" pid="5" name="_AuthorEmail">
    <vt:lpwstr>SSOGG@mgh.harvard.edu</vt:lpwstr>
  </property>
  <property fmtid="{D5CDD505-2E9C-101B-9397-08002B2CF9AE}" pid="6" name="_AuthorEmailDisplayName">
    <vt:lpwstr>Sogg, Stephanie,PhD</vt:lpwstr>
  </property>
</Properties>
</file>